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5080" t="11430" r="13335" b="13335"/>
                <wp:wrapNone/>
                <wp:docPr id="21"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3743960" cy="594360"/>
                        </a:xfrm>
                        <a:prstGeom prst="rect">
                          <a:avLst/>
                        </a:prstGeom>
                        <a:solidFill>
                          <a:srgbClr val="FFFFFF"/>
                        </a:solidFill>
                        <a:ln w="9525">
                          <a:solidFill>
                            <a:srgbClr val="FFFFFF"/>
                          </a:solidFill>
                          <a:miter lim="800000"/>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t8zXHXAAAACAEAAA8AAAAAAAAAAQAgAAAAIgAAAGRy&#10;cy9kb3ducmV2LnhtbFBLAQIUABQAAAAIAIdO4kBHSZbnPwIAAIoEAAAOAAAAAAAAAAEAIAAAACYB&#10;AABkcnMvZTJvRG9jLnhtbFBLBQYAAAAABgAGAFkBAADXBQAAAAA=&#10;">
                <v:fill on="t" focussize="0,0"/>
                <v:stroke color="#FFFFFF" miterlimit="8"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rFonts w:hint="eastAsia"/>
          <w:b/>
          <w:kern w:val="0"/>
          <w:sz w:val="28"/>
          <w:szCs w:val="28"/>
        </w:rPr>
        <w:t xml:space="preserve"> </w: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老年综合评估信息化系统</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项目编号：SZZZ2022-QA0224</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31"/>
        <w:adjustRightInd w:val="0"/>
        <w:snapToGrid w:val="0"/>
        <w:spacing w:line="300" w:lineRule="auto"/>
        <w:jc w:val="center"/>
        <w:rPr>
          <w:rFonts w:ascii="Times New Roman" w:hAnsi="Times New Roman" w:eastAsia="经典等线简"/>
          <w:b/>
          <w:snapToGrid w:val="0"/>
          <w:sz w:val="30"/>
        </w:rPr>
      </w:pPr>
    </w:p>
    <w:p/>
    <w:p/>
    <w:p>
      <w:pPr>
        <w:pStyle w:val="31"/>
        <w:adjustRightInd w:val="0"/>
        <w:snapToGrid w:val="0"/>
        <w:spacing w:line="300" w:lineRule="auto"/>
        <w:ind w:hanging="835"/>
        <w:jc w:val="center"/>
        <w:rPr>
          <w:b/>
          <w:kern w:val="0"/>
          <w:sz w:val="28"/>
          <w:szCs w:val="28"/>
        </w:rPr>
      </w:pPr>
      <w:r>
        <w:rPr>
          <w:rFonts w:hint="eastAsia"/>
          <w:b/>
          <w:snapToGrid w:val="0"/>
          <w:sz w:val="30"/>
        </w:rPr>
        <w:t>二〇二二年</w:t>
      </w:r>
      <w:r>
        <w:rPr>
          <w:rFonts w:hint="eastAsia"/>
          <w:b/>
          <w:snapToGrid w:val="0"/>
          <w:sz w:val="30"/>
          <w:lang w:val="en-US" w:eastAsia="zh-CN"/>
        </w:rPr>
        <w:t>十一</w:t>
      </w:r>
      <w:r>
        <w:rPr>
          <w:rFonts w:hint="eastAsia"/>
          <w:b/>
          <w:snapToGrid w:val="0"/>
          <w:sz w:val="30"/>
        </w:rPr>
        <w:t>月</w:t>
      </w:r>
      <w:r>
        <w:rPr>
          <w:b/>
          <w:kern w:val="0"/>
          <w:sz w:val="28"/>
          <w:szCs w:val="28"/>
        </w:rPr>
        <w:br w:type="page"/>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r>
        <w:rPr>
          <w:rFonts w:hint="eastAsia" w:ascii="仿宋" w:hAnsi="仿宋" w:eastAsia="仿宋"/>
          <w:sz w:val="24"/>
        </w:rPr>
        <w:cr/>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6"/>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7"/>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"_Toc110410285" </w:instrText>
          </w:r>
          <w:r>
            <w:fldChar w:fldCharType="separate"/>
          </w:r>
          <w:r>
            <w:rPr>
              <w:rStyle w:val="59"/>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_Toc110410285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"_Toc110410286" </w:instrText>
          </w:r>
          <w:r>
            <w:fldChar w:fldCharType="separate"/>
          </w:r>
          <w:r>
            <w:rPr>
              <w:rStyle w:val="59"/>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_Toc110410286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"_Toc110410287" </w:instrText>
          </w:r>
          <w:r>
            <w:fldChar w:fldCharType="separate"/>
          </w:r>
          <w:r>
            <w:rPr>
              <w:rStyle w:val="59"/>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_Toc110410287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"_Toc110410288" </w:instrText>
          </w:r>
          <w:r>
            <w:fldChar w:fldCharType="separate"/>
          </w:r>
          <w:r>
            <w:rPr>
              <w:rStyle w:val="59"/>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_Toc110410288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"_Toc110410289" </w:instrText>
          </w:r>
          <w:r>
            <w:fldChar w:fldCharType="separate"/>
          </w:r>
          <w:r>
            <w:rPr>
              <w:rStyle w:val="59"/>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_Toc110410289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"_Toc110410290" </w:instrText>
          </w:r>
          <w:r>
            <w:fldChar w:fldCharType="separate"/>
          </w:r>
          <w:r>
            <w:rPr>
              <w:rStyle w:val="59"/>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_Toc110410290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"_Toc110410291" </w:instrText>
          </w:r>
          <w:r>
            <w:fldChar w:fldCharType="separate"/>
          </w:r>
          <w:r>
            <w:rPr>
              <w:rStyle w:val="59"/>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_Toc110410291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8"/>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"_Toc110410292" </w:instrText>
          </w:r>
          <w:r>
            <w:fldChar w:fldCharType="separate"/>
          </w:r>
          <w:r>
            <w:rPr>
              <w:rStyle w:val="59"/>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_Toc110410292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8"/>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"_Toc110410293" </w:instrText>
          </w:r>
          <w:r>
            <w:fldChar w:fldCharType="separate"/>
          </w:r>
          <w:r>
            <w:rPr>
              <w:rStyle w:val="59"/>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_Toc110410293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"_Toc110410294" </w:instrText>
          </w:r>
          <w:r>
            <w:fldChar w:fldCharType="separate"/>
          </w:r>
          <w:r>
            <w:rPr>
              <w:rStyle w:val="59"/>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_Toc110410294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"_Toc110410295" </w:instrText>
          </w:r>
          <w:r>
            <w:fldChar w:fldCharType="separate"/>
          </w:r>
          <w:r>
            <w:rPr>
              <w:rStyle w:val="59"/>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_Toc110410295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"_Toc110410296" </w:instrText>
          </w:r>
          <w:r>
            <w:fldChar w:fldCharType="separate"/>
          </w:r>
          <w:r>
            <w:rPr>
              <w:rStyle w:val="59"/>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"_Toc110410297" </w:instrText>
          </w:r>
          <w:r>
            <w:fldChar w:fldCharType="separate"/>
          </w:r>
          <w:r>
            <w:rPr>
              <w:rStyle w:val="59"/>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_Toc110410297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"_Toc110410298" </w:instrText>
          </w:r>
          <w:r>
            <w:fldChar w:fldCharType="separate"/>
          </w:r>
          <w:r>
            <w:rPr>
              <w:rStyle w:val="59"/>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_Toc110410298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"_Toc110410299" </w:instrText>
          </w:r>
          <w:r>
            <w:fldChar w:fldCharType="separate"/>
          </w:r>
          <w:r>
            <w:rPr>
              <w:rStyle w:val="59"/>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_Toc110410299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"_Toc110410300" </w:instrText>
          </w:r>
          <w:r>
            <w:fldChar w:fldCharType="separate"/>
          </w:r>
          <w:r>
            <w:rPr>
              <w:rStyle w:val="59"/>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_Toc110410300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"_Toc110410301" </w:instrText>
          </w:r>
          <w:r>
            <w:fldChar w:fldCharType="separate"/>
          </w:r>
          <w:r>
            <w:rPr>
              <w:rStyle w:val="59"/>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_Toc110410301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"_Toc110410302" </w:instrText>
          </w:r>
          <w:r>
            <w:fldChar w:fldCharType="separate"/>
          </w:r>
          <w:r>
            <w:rPr>
              <w:rStyle w:val="59"/>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_Toc110410302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"_Toc110410303" </w:instrText>
          </w:r>
          <w:r>
            <w:fldChar w:fldCharType="separate"/>
          </w:r>
          <w:r>
            <w:rPr>
              <w:rStyle w:val="59"/>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_Toc110410303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"_Toc110410304" </w:instrText>
          </w:r>
          <w:r>
            <w:fldChar w:fldCharType="separate"/>
          </w:r>
          <w:r>
            <w:rPr>
              <w:rStyle w:val="59"/>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_Toc110410304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"_Toc110410305" </w:instrText>
          </w:r>
          <w:r>
            <w:fldChar w:fldCharType="separate"/>
          </w:r>
          <w:r>
            <w:rPr>
              <w:rStyle w:val="59"/>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_Toc110410305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"_Toc110410306" </w:instrText>
          </w:r>
          <w:r>
            <w:fldChar w:fldCharType="separate"/>
          </w:r>
          <w:r>
            <w:rPr>
              <w:rStyle w:val="59"/>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_Toc110410306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"_Toc110410307" </w:instrText>
          </w:r>
          <w:r>
            <w:fldChar w:fldCharType="separate"/>
          </w:r>
          <w:r>
            <w:rPr>
              <w:rStyle w:val="59"/>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_Toc110410307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"_Toc110410308" </w:instrText>
          </w:r>
          <w:r>
            <w:fldChar w:fldCharType="separate"/>
          </w:r>
          <w:r>
            <w:rPr>
              <w:rStyle w:val="59"/>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_Toc110410308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pPr>
            <w:pStyle w:val="37"/>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"_Toc110410309" </w:instrText>
          </w:r>
          <w:r>
            <w:fldChar w:fldCharType="separate"/>
          </w:r>
          <w:r>
            <w:rPr>
              <w:rStyle w:val="59"/>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_Toc110410309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"_Toc110410310" </w:instrText>
          </w:r>
          <w:r>
            <w:fldChar w:fldCharType="separate"/>
          </w:r>
          <w:r>
            <w:rPr>
              <w:rStyle w:val="59"/>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_Toc110410310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"_Toc110410311" </w:instrText>
          </w:r>
          <w:r>
            <w:fldChar w:fldCharType="separate"/>
          </w:r>
          <w:r>
            <w:rPr>
              <w:rStyle w:val="59"/>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_Toc110410311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"_Toc110410312" </w:instrText>
          </w:r>
          <w:r>
            <w:fldChar w:fldCharType="separate"/>
          </w:r>
          <w:r>
            <w:rPr>
              <w:rStyle w:val="59"/>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_Toc110410312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pPr>
            <w:pStyle w:val="44"/>
            <w:tabs>
              <w:tab w:val="right" w:leader="dot" w:pos="9628"/>
            </w:tabs>
            <w:spacing w:line="360" w:lineRule="exact"/>
          </w:pPr>
          <w:r>
            <w:fldChar w:fldCharType="begin"/>
          </w:r>
          <w:r>
            <w:instrText xml:space="preserve"> HYPERLINK \l "_Toc110410313" </w:instrText>
          </w:r>
          <w:r>
            <w:fldChar w:fldCharType="separate"/>
          </w:r>
          <w:r>
            <w:rPr>
              <w:rStyle w:val="59"/>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_Toc110410313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pStyle w:val="44"/>
        <w:tabs>
          <w:tab w:val="right" w:leader="dot" w:pos="9628"/>
        </w:tabs>
        <w:spacing w:line="360" w:lineRule="exact"/>
      </w:pPr>
      <w:r>
        <w:br w:type="page"/>
      </w:r>
    </w:p>
    <w:p/>
    <w:p>
      <w:pPr>
        <w:pStyle w:val="6"/>
      </w:pPr>
      <w:bookmarkStart w:id="0" w:name="_Toc110410285"/>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老年综合评估信息化系统</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SZZZ2022-QA0224</w:t>
      </w:r>
    </w:p>
    <w:p>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2、项目名称：老年综合评估信息化系统</w:t>
      </w:r>
    </w:p>
    <w:p>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28.8 </w:t>
      </w:r>
      <w:r>
        <w:rPr>
          <w:rFonts w:hint="eastAsia" w:ascii="宋体" w:hAnsi="宋体" w:eastAsia="宋体"/>
          <w:snapToGrid w:val="0"/>
          <w:color w:val="auto"/>
          <w:sz w:val="21"/>
          <w:szCs w:val="21"/>
        </w:rPr>
        <w:t>万元</w:t>
      </w:r>
    </w:p>
    <w:p>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28.8 </w:t>
      </w:r>
      <w:r>
        <w:rPr>
          <w:rFonts w:hint="eastAsia" w:ascii="宋体" w:hAnsi="宋体" w:eastAsia="宋体"/>
          <w:snapToGrid w:val="0"/>
          <w:color w:val="auto"/>
          <w:sz w:val="21"/>
          <w:szCs w:val="21"/>
        </w:rPr>
        <w:t>万元</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2"/>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708" w:type="dxa"/>
            <w:shd w:val="clear" w:color="auto" w:fill="ABCDEF"/>
            <w:vAlign w:val="center"/>
          </w:tcPr>
          <w:p>
            <w:pPr>
              <w:pStyle w:val="48"/>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8"/>
              <w:spacing w:line="360" w:lineRule="auto"/>
              <w:jc w:val="center"/>
              <w:rPr>
                <w:sz w:val="21"/>
              </w:rPr>
            </w:pPr>
            <w:r>
              <w:rPr>
                <w:sz w:val="21"/>
              </w:rPr>
              <w:t>标的名称</w:t>
            </w:r>
          </w:p>
        </w:tc>
        <w:tc>
          <w:tcPr>
            <w:tcW w:w="850" w:type="dxa"/>
            <w:shd w:val="clear" w:color="auto" w:fill="ABCDEF"/>
            <w:vAlign w:val="center"/>
          </w:tcPr>
          <w:p>
            <w:pPr>
              <w:pStyle w:val="48"/>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8"/>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8"/>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8"/>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708" w:type="dxa"/>
            <w:shd w:val="clear" w:color="auto" w:fill="auto"/>
            <w:vAlign w:val="center"/>
          </w:tcPr>
          <w:p>
            <w:pPr>
              <w:pStyle w:val="48"/>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8"/>
              <w:spacing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老年综合评估信息化系统</w:t>
            </w:r>
          </w:p>
        </w:tc>
        <w:tc>
          <w:tcPr>
            <w:tcW w:w="850" w:type="dxa"/>
            <w:shd w:val="clear" w:color="auto" w:fill="auto"/>
            <w:vAlign w:val="center"/>
          </w:tcPr>
          <w:p>
            <w:pPr>
              <w:pStyle w:val="48"/>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8"/>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套</w:t>
            </w:r>
          </w:p>
        </w:tc>
        <w:tc>
          <w:tcPr>
            <w:tcW w:w="2977" w:type="dxa"/>
            <w:shd w:val="clear" w:color="auto" w:fill="auto"/>
            <w:vAlign w:val="center"/>
          </w:tcPr>
          <w:p>
            <w:pPr>
              <w:pStyle w:val="48"/>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5"/>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（7）本项目不接受进口产品投标（进口产品是指通过中国海关报关验放进入中国境内且产自关境外的产品，相关内容以“财库【2007】119号文”和“财办库【2008】248号文”的相关规定为准）。</w:t>
      </w:r>
    </w:p>
    <w:p>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日至2022年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名称：中山大学附属第八医院（深圳福田）</w:t>
      </w:r>
      <w:r>
        <w:rPr>
          <w:rFonts w:ascii="宋体" w:hAnsi="宋体" w:eastAsia="宋体"/>
          <w:snapToGrid w:val="0"/>
          <w:color w:val="auto"/>
          <w:sz w:val="21"/>
          <w:szCs w:val="21"/>
        </w:rPr>
        <w:t xml:space="preserve"> </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地址：深圳市福华路福星北小区92号中大八院行政楼314招采办</w:t>
      </w:r>
      <w:r>
        <w:rPr>
          <w:rFonts w:ascii="宋体" w:hAnsi="宋体" w:eastAsia="宋体"/>
          <w:snapToGrid w:val="0"/>
          <w:color w:val="auto"/>
          <w:sz w:val="21"/>
          <w:szCs w:val="21"/>
        </w:rPr>
        <w:t xml:space="preserve"> </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联系方式：余老师，82711569</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联系方式：曾工，0755-83026699</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项目联系人：曾工</w:t>
      </w:r>
    </w:p>
    <w:p>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ascii="宋体" w:hAnsi="宋体"/>
          <w:snapToGrid w:val="0"/>
          <w:kern w:val="0"/>
          <w:sz w:val="24"/>
        </w:rPr>
        <w:t>2022年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9</w:t>
      </w:r>
      <w:bookmarkStart w:id="93" w:name="_GoBack"/>
      <w:bookmarkEnd w:id="93"/>
      <w:r>
        <w:rPr>
          <w:rFonts w:hint="eastAsia" w:ascii="宋体" w:hAnsi="宋体"/>
          <w:snapToGrid w:val="0"/>
          <w:kern w:val="0"/>
          <w:sz w:val="24"/>
        </w:rPr>
        <w:t>日</w:t>
      </w:r>
    </w:p>
    <w:p>
      <w:pPr>
        <w:widowControl/>
        <w:jc w:val="left"/>
        <w:rPr>
          <w:rFonts w:eastAsiaTheme="minorEastAsia"/>
          <w:b/>
          <w:kern w:val="44"/>
          <w:szCs w:val="21"/>
        </w:rPr>
      </w:pPr>
      <w:r>
        <w:rPr>
          <w:szCs w:val="21"/>
        </w:rPr>
        <w:br w:type="page"/>
      </w:r>
    </w:p>
    <w:p>
      <w:pPr>
        <w:pStyle w:val="6"/>
        <w:spacing w:line="240" w:lineRule="auto"/>
        <w:rPr>
          <w:sz w:val="21"/>
          <w:szCs w:val="21"/>
        </w:rPr>
      </w:pPr>
    </w:p>
    <w:p>
      <w:pPr>
        <w:pStyle w:val="6"/>
      </w:pPr>
      <w:bookmarkStart w:id="1" w:name="_Toc110410286"/>
      <w:r>
        <w:rPr>
          <w:rFonts w:hint="eastAsia"/>
        </w:rPr>
        <w:t>第二章  项目需求</w:t>
      </w:r>
      <w:bookmarkEnd w:id="1"/>
    </w:p>
    <w:p>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numPr>
          <w:ilvl w:val="0"/>
          <w:numId w:val="4"/>
        </w:numPr>
        <w:spacing w:line="540" w:lineRule="exact"/>
      </w:pPr>
      <w:r>
        <w:rPr>
          <w:rFonts w:hint="eastAsia" w:ascii="方正小标宋简体" w:hAnsi="方正小标宋简体" w:eastAsia="方正小标宋简体" w:cs="方正小标宋简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我国老龄化问题日益严重，老年人是一个特殊的群体，且老年人的躯体问题、心理和社会问题常常同时存在，三者之间相互作用共同影响着老年人的健康状况。传统医学评估对疾病诊断十分有用，但不能综合反映功能、心理、社会等方面问题，已满足不了老年人评估的需要。因此，一套全面的评估方法，对于判断老年人的能力状况，并发现老年人所有潜在问题有着非常重要的影响。在进行评估过程中，使用老年综合评估信息化系统进行科学评估，以确保评估结果更加客观、科学、准确，所以评估的方法和评估工具则显得尤为重要。通过借助科学精准的评估仪器、设备和信息化系统，将测量方法量化，使评估结果更加科学准确，从而为制定科学合理的防治计划提供科学依据。</w:t>
      </w:r>
    </w:p>
    <w:p>
      <w:pPr>
        <w:adjustRightInd w:val="0"/>
        <w:snapToGrid w:val="0"/>
        <w:spacing w:line="360" w:lineRule="auto"/>
        <w:ind w:firstLine="480" w:firstLineChars="200"/>
        <w:rPr>
          <w:rFonts w:ascii="宋体" w:hAnsi="宋体" w:cs="宋体"/>
          <w:sz w:val="24"/>
        </w:rPr>
      </w:pPr>
    </w:p>
    <w:p>
      <w:pPr>
        <w:spacing w:line="360" w:lineRule="auto"/>
        <w:rPr>
          <w:rFonts w:eastAsia="黑体"/>
          <w:bCs/>
          <w:snapToGrid w:val="0"/>
          <w:kern w:val="0"/>
          <w:sz w:val="24"/>
        </w:rPr>
      </w:pPr>
    </w:p>
    <w:p>
      <w:pPr>
        <w:numPr>
          <w:ilvl w:val="0"/>
          <w:numId w:val="4"/>
        </w:numPr>
        <w:spacing w:line="540" w:lineRule="exact"/>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采购范围</w:t>
      </w:r>
    </w:p>
    <w:p>
      <w:pPr>
        <w:rPr>
          <w:rFonts w:ascii="宋体" w:hAnsi="宋体"/>
          <w:b/>
          <w:szCs w:val="21"/>
        </w:rPr>
      </w:pPr>
      <w:r>
        <w:rPr>
          <w:rFonts w:hint="eastAsia" w:ascii="宋体" w:hAnsi="宋体"/>
          <w:b/>
          <w:szCs w:val="21"/>
        </w:rPr>
        <w:t>（一）货物清单</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老年综合评估信息化系统</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288,000.00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jc w:val="left"/>
        <w:rPr>
          <w:rFonts w:ascii="宋体" w:hAnsi="宋体"/>
          <w:bCs/>
          <w:snapToGrid w:val="0"/>
          <w:kern w:val="0"/>
          <w:szCs w:val="21"/>
        </w:rPr>
      </w:pPr>
    </w:p>
    <w:p>
      <w:pPr>
        <w:pStyle w:val="455"/>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2"/>
        <w:tblW w:w="46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5"/>
        <w:gridCol w:w="702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Align w:val="center"/>
          </w:tcPr>
          <w:p>
            <w:pPr>
              <w:spacing w:after="60"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序号</w:t>
            </w:r>
          </w:p>
        </w:tc>
        <w:tc>
          <w:tcPr>
            <w:tcW w:w="440" w:type="pct"/>
            <w:vAlign w:val="center"/>
          </w:tcPr>
          <w:p>
            <w:pPr>
              <w:spacing w:after="6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货物名称</w:t>
            </w:r>
          </w:p>
        </w:tc>
        <w:tc>
          <w:tcPr>
            <w:tcW w:w="3835" w:type="pct"/>
            <w:vAlign w:val="center"/>
          </w:tcPr>
          <w:p>
            <w:pPr>
              <w:spacing w:after="60" w:line="360" w:lineRule="auto"/>
              <w:jc w:val="center"/>
              <w:rPr>
                <w:rFonts w:ascii="宋体" w:hAnsi="宋体" w:cs="宋体"/>
                <w:bCs/>
                <w:color w:val="000000"/>
                <w:sz w:val="24"/>
              </w:rPr>
            </w:pPr>
            <w:r>
              <w:rPr>
                <w:rFonts w:hint="eastAsia" w:asciiTheme="minorEastAsia" w:hAnsiTheme="minorEastAsia" w:eastAsiaTheme="minorEastAsia" w:cstheme="minorEastAsia"/>
                <w:b/>
                <w:szCs w:val="21"/>
              </w:rPr>
              <w:t>技术参数要求</w:t>
            </w:r>
          </w:p>
        </w:tc>
        <w:tc>
          <w:tcPr>
            <w:tcW w:w="491" w:type="pct"/>
            <w:vAlign w:val="center"/>
          </w:tcPr>
          <w:p>
            <w:pPr>
              <w:spacing w:after="6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restart"/>
            <w:vAlign w:val="center"/>
          </w:tcPr>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b/>
                <w:bCs/>
                <w:szCs w:val="21"/>
              </w:rPr>
            </w:pPr>
          </w:p>
          <w:p>
            <w:pPr>
              <w:spacing w:after="6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w:t>
            </w:r>
          </w:p>
        </w:tc>
        <w:tc>
          <w:tcPr>
            <w:tcW w:w="440" w:type="pct"/>
            <w:vMerge w:val="restart"/>
            <w:vAlign w:val="center"/>
          </w:tcPr>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kern w:val="0"/>
                <w:szCs w:val="21"/>
              </w:rPr>
            </w:pPr>
          </w:p>
          <w:p>
            <w:pPr>
              <w:spacing w:after="6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老年综合评估信息化系统</w:t>
            </w:r>
          </w:p>
        </w:tc>
        <w:tc>
          <w:tcPr>
            <w:tcW w:w="3835" w:type="pct"/>
          </w:tcPr>
          <w:p>
            <w:pPr>
              <w:spacing w:after="6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评估系统具备审核机制，可根据采购人需求进行数据权限范围控制，医生、护士可独立进行评估操作，并产生评估报告。然后由具备审核权限的账户进行审核。审核对评估结果、干预措施无异议，填写审核意见，即评估报告正式生效。</w:t>
            </w:r>
          </w:p>
        </w:tc>
        <w:tc>
          <w:tcPr>
            <w:tcW w:w="491" w:type="pct"/>
          </w:tcPr>
          <w:p>
            <w:pPr>
              <w:spacing w:after="60"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after="6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2.支持老年综合评估医联体模式，支持医联体上线及之间的机构管理，数据共享和规范标准化管理。</w:t>
            </w:r>
          </w:p>
        </w:tc>
        <w:tc>
          <w:tcPr>
            <w:tcW w:w="491" w:type="pct"/>
          </w:tcPr>
          <w:p>
            <w:pPr>
              <w:spacing w:after="60"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3.评估量表：</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3.1 筛查。</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3.2 标准：</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3.2.1 功能评估：</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日常生活能力（ADL）：基本日常生活活动能力（BADL）、工具性日常生活活动能力（IADL）、移动平衡能力、理解/交流能力。</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3.2.2 综合征评估：</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谵妄（CAM评定量表）、抑郁（PHQ-2量表）、焦虑（GAD-7问卷）、吞咽障碍（EAT-10量表）、营养不良（MNA-SF评价精法）、肌少症（Sarc-Calf问卷）、衰弱（Frail量表）、跌倒（Morse评估量表）、尿失禁（ICI-Q-SF问卷表）、压疮（Braden评估表）、疼痛（表情评分法、数字评分法）、睡眠</w:t>
            </w:r>
          </w:p>
          <w:p>
            <w:pPr>
              <w:autoSpaceDE w:val="0"/>
              <w:autoSpaceDN w:val="0"/>
              <w:adjustRightIn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3.2.3 社会评估</w:t>
            </w:r>
          </w:p>
          <w:p>
            <w:pPr>
              <w:pStyle w:val="457"/>
              <w:spacing w:line="360" w:lineRule="auto"/>
              <w:ind w:left="519" w:hanging="518" w:hangingChars="247"/>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经济状况、社会支持、居家环境、预立意愿</w:t>
            </w:r>
          </w:p>
        </w:tc>
        <w:tc>
          <w:tcPr>
            <w:tcW w:w="491" w:type="pct"/>
          </w:tcPr>
          <w:p>
            <w:pPr>
              <w:pStyle w:val="457"/>
              <w:spacing w:line="360" w:lineRule="auto"/>
              <w:ind w:left="519" w:hanging="518" w:hangingChars="247"/>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pStyle w:val="457"/>
              <w:spacing w:line="36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4.评估类型分为筛查、标准两种。可以选择先进行筛查评估，再进行标准评估，而减少医护者的工作量；也可以直接进行标准评估。</w:t>
            </w:r>
            <w:r>
              <w:rPr>
                <w:rStyle w:val="60"/>
                <w:rFonts w:hint="eastAsia"/>
              </w:rPr>
              <w:t>两种评估类型均可独立进行。</w:t>
            </w:r>
          </w:p>
        </w:tc>
        <w:tc>
          <w:tcPr>
            <w:tcW w:w="491" w:type="pct"/>
          </w:tcPr>
          <w:p>
            <w:pPr>
              <w:pStyle w:val="457"/>
              <w:spacing w:line="360" w:lineRule="auto"/>
              <w:ind w:firstLine="0" w:firstLineChars="0"/>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5.具备指标内数据自动校验、计算以及根据逻辑控制项隐藏、置灰、跳转的功能。</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after="6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6.具备身份证拍照识别并自动提取相关信息的功能以及其他关键字索引功能。</w:t>
            </w:r>
          </w:p>
        </w:tc>
        <w:tc>
          <w:tcPr>
            <w:tcW w:w="491" w:type="pct"/>
          </w:tcPr>
          <w:p>
            <w:pPr>
              <w:spacing w:after="60"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 xml:space="preserve">7.具有院内管理端、Android评估端、PC评估端等多种客户端。 </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after="6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8.支持评估过程暂存，可将评估数据保存到手机， 退出后下次继续评估不中断。</w:t>
            </w:r>
          </w:p>
        </w:tc>
        <w:tc>
          <w:tcPr>
            <w:tcW w:w="491" w:type="pct"/>
          </w:tcPr>
          <w:p>
            <w:pPr>
              <w:spacing w:after="60"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pStyle w:val="457"/>
              <w:spacing w:line="36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9.建立完善的干预措施级别，如：观察、科内干预、专科会诊等，辅助临床预防决策。</w:t>
            </w:r>
          </w:p>
        </w:tc>
        <w:tc>
          <w:tcPr>
            <w:tcW w:w="491" w:type="pct"/>
          </w:tcPr>
          <w:p>
            <w:pPr>
              <w:pStyle w:val="457"/>
              <w:spacing w:line="360" w:lineRule="auto"/>
              <w:ind w:firstLine="0" w:firstLineChars="0"/>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after="60" w:line="360" w:lineRule="auto"/>
              <w:rPr>
                <w:rFonts w:asciiTheme="minorEastAsia" w:hAnsiTheme="minorEastAsia" w:cstheme="minorEastAsia"/>
                <w:szCs w:val="21"/>
              </w:rPr>
            </w:pPr>
            <w:r>
              <w:rPr>
                <w:rFonts w:hint="eastAsia" w:asciiTheme="minorEastAsia" w:hAnsiTheme="minorEastAsia" w:eastAsiaTheme="minorEastAsia" w:cstheme="minorEastAsia"/>
                <w:bCs/>
                <w:color w:val="000000"/>
                <w:szCs w:val="21"/>
              </w:rPr>
              <w:t>10.展示全院患者列表。可以按照在院、最近在院、历史出院分类展示。可以按照姓名、科室、病区、住院号进行检索。</w:t>
            </w:r>
            <w:r>
              <w:rPr>
                <w:rFonts w:hint="eastAsia"/>
              </w:rPr>
              <w:t>可以根据采购人需求新增分类途径/条目。</w:t>
            </w:r>
          </w:p>
        </w:tc>
        <w:tc>
          <w:tcPr>
            <w:tcW w:w="491" w:type="pct"/>
          </w:tcPr>
          <w:p>
            <w:pPr>
              <w:spacing w:after="60"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11.患者列表中包括评分等级、评分节点、评分时间、住院号、床号、姓名、性别、入院时间。</w:t>
            </w:r>
            <w:r>
              <w:rPr>
                <w:rFonts w:hint="eastAsia"/>
              </w:rPr>
              <w:t>可以根据采购人需求新增信息字段等。</w:t>
            </w:r>
          </w:p>
        </w:tc>
        <w:tc>
          <w:tcPr>
            <w:tcW w:w="491" w:type="pct"/>
          </w:tcPr>
          <w:p>
            <w:pPr>
              <w:autoSpaceDE w:val="0"/>
              <w:autoSpaceDN w:val="0"/>
              <w:adjustRightInd w:val="0"/>
              <w:spacing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12.患者的风险等级，可以按照颜色显示、按照类别进行筛选。</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13.点击患者可以查看患者的评分列表。评分数据可以导出。</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14.评分数据可以进行病历归档打印。</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15.展示在院患者评估记录列表，如：病床、姓名、评估时间、评分节点、评分等级、是否处理、在院天数、住院号、入院时间等。</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16.系统提供评估相关文档和视频，评估细节标注。</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17.具备评估数据在线统计分析功能，也可支持数据需脱敏后批量导出用于医疗及科研。</w:t>
            </w:r>
          </w:p>
        </w:tc>
        <w:tc>
          <w:tcPr>
            <w:tcW w:w="491" w:type="pct"/>
          </w:tcPr>
          <w:p>
            <w:pPr>
              <w:spacing w:line="360" w:lineRule="auto"/>
              <w:jc w:val="left"/>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ind w:left="2"/>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18.可点击查看患者评分详情、历史评估记录并打印。</w:t>
            </w:r>
          </w:p>
        </w:tc>
        <w:tc>
          <w:tcPr>
            <w:tcW w:w="491" w:type="pct"/>
          </w:tcPr>
          <w:p>
            <w:pPr>
              <w:spacing w:line="360" w:lineRule="auto"/>
              <w:ind w:left="2"/>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ind w:left="2"/>
              <w:rPr>
                <w:rFonts w:asciiTheme="minorEastAsia" w:hAnsiTheme="minorEastAsia" w:eastAsiaTheme="minorEastAsia" w:cstheme="minorEastAsia"/>
                <w:bCs/>
                <w:color w:val="000000"/>
                <w:szCs w:val="21"/>
              </w:rPr>
            </w:pPr>
            <w:r>
              <w:rPr>
                <w:rFonts w:hint="eastAsia" w:ascii="仿宋_GB2312" w:eastAsia="仿宋_GB2312"/>
                <w:b/>
                <w:sz w:val="21"/>
                <w:szCs w:val="21"/>
              </w:rPr>
              <w:t>▲</w:t>
            </w:r>
            <w:r>
              <w:rPr>
                <w:rFonts w:hint="eastAsia" w:asciiTheme="minorEastAsia" w:hAnsiTheme="minorEastAsia" w:eastAsiaTheme="minorEastAsia" w:cstheme="minorEastAsia"/>
                <w:bCs/>
                <w:color w:val="000000"/>
                <w:szCs w:val="21"/>
              </w:rPr>
              <w:t>19.可根据采购人要求提供深度定制化服务。</w:t>
            </w:r>
          </w:p>
        </w:tc>
        <w:tc>
          <w:tcPr>
            <w:tcW w:w="491" w:type="pct"/>
          </w:tcPr>
          <w:p>
            <w:pPr>
              <w:spacing w:line="360" w:lineRule="auto"/>
              <w:ind w:left="2"/>
              <w:rPr>
                <w:rFonts w:ascii="仿宋_GB2312" w:eastAsia="仿宋_GB2312"/>
                <w:b/>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ind w:left="2"/>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color w:val="000000"/>
                <w:szCs w:val="21"/>
              </w:rPr>
              <w:t>20.系统供应商通过老年综合评估专项技术并获得省级或以上科学技术进步奖。</w:t>
            </w:r>
            <w:r>
              <w:rPr>
                <w:rFonts w:hint="eastAsia"/>
              </w:rPr>
              <w:t>（投标人须提供奖项证明文件复印件加盖公章）</w:t>
            </w:r>
          </w:p>
        </w:tc>
        <w:tc>
          <w:tcPr>
            <w:tcW w:w="491" w:type="pct"/>
          </w:tcPr>
          <w:p>
            <w:pPr>
              <w:spacing w:line="360" w:lineRule="auto"/>
              <w:ind w:left="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spacing w:line="360" w:lineRule="auto"/>
              <w:ind w:left="2"/>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color w:val="000000"/>
                <w:szCs w:val="21"/>
              </w:rPr>
              <w:t>21.接口服务要求：</w:t>
            </w:r>
            <w:r>
              <w:rPr>
                <w:rFonts w:hint="eastAsia"/>
              </w:rPr>
              <w:t>投标人须根据采购人需求完成采购系统与采购人在用所有系统的对接。</w:t>
            </w:r>
          </w:p>
        </w:tc>
        <w:tc>
          <w:tcPr>
            <w:tcW w:w="491" w:type="pct"/>
          </w:tcPr>
          <w:p>
            <w:pPr>
              <w:spacing w:line="360" w:lineRule="auto"/>
              <w:ind w:left="2"/>
              <w:rPr>
                <w:rFonts w:ascii="仿宋_GB2312" w:eastAsia="仿宋_GB2312"/>
                <w:b/>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2" w:type="pct"/>
            <w:vMerge w:val="continue"/>
            <w:vAlign w:val="center"/>
          </w:tcPr>
          <w:p>
            <w:pPr>
              <w:spacing w:after="60" w:line="360" w:lineRule="auto"/>
              <w:jc w:val="center"/>
              <w:rPr>
                <w:rFonts w:asciiTheme="minorEastAsia" w:hAnsiTheme="minorEastAsia" w:eastAsiaTheme="minorEastAsia" w:cstheme="minorEastAsia"/>
                <w:szCs w:val="21"/>
              </w:rPr>
            </w:pPr>
          </w:p>
        </w:tc>
        <w:tc>
          <w:tcPr>
            <w:tcW w:w="440" w:type="pct"/>
            <w:vMerge w:val="continue"/>
            <w:vAlign w:val="center"/>
          </w:tcPr>
          <w:p>
            <w:pPr>
              <w:spacing w:after="60" w:line="360" w:lineRule="auto"/>
              <w:jc w:val="center"/>
              <w:rPr>
                <w:rFonts w:asciiTheme="minorEastAsia" w:hAnsiTheme="minorEastAsia" w:eastAsiaTheme="minorEastAsia" w:cstheme="minorEastAsia"/>
                <w:b/>
                <w:szCs w:val="21"/>
              </w:rPr>
            </w:pPr>
          </w:p>
        </w:tc>
        <w:tc>
          <w:tcPr>
            <w:tcW w:w="3835" w:type="pct"/>
          </w:tcPr>
          <w:p>
            <w:pPr>
              <w:pStyle w:val="24"/>
              <w:adjustRightInd w:val="0"/>
              <w:snapToGri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22.软件系统主机（包含外设）</w:t>
            </w:r>
          </w:p>
          <w:p>
            <w:pPr>
              <w:pStyle w:val="24"/>
              <w:adjustRightInd w:val="0"/>
              <w:snapToGri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CPU: ≥2*4214R银牌</w:t>
            </w:r>
          </w:p>
          <w:p>
            <w:pPr>
              <w:pStyle w:val="24"/>
              <w:adjustRightInd w:val="0"/>
              <w:snapToGri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内存: ≥128G</w:t>
            </w:r>
          </w:p>
          <w:p>
            <w:pPr>
              <w:pStyle w:val="24"/>
              <w:adjustRightInd w:val="0"/>
              <w:snapToGri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硬盘: ≥2*480G SATA SSD 2.5/4*12T SATA 3.5 7.2K</w:t>
            </w:r>
          </w:p>
        </w:tc>
        <w:tc>
          <w:tcPr>
            <w:tcW w:w="491" w:type="pct"/>
          </w:tcPr>
          <w:p>
            <w:pPr>
              <w:pStyle w:val="24"/>
              <w:adjustRightInd w:val="0"/>
              <w:snapToGrid w:val="0"/>
              <w:spacing w:line="360" w:lineRule="auto"/>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32" w:type="pct"/>
            <w:vAlign w:val="center"/>
          </w:tcPr>
          <w:p>
            <w:pPr>
              <w:spacing w:after="60" w:line="360" w:lineRule="auto"/>
              <w:jc w:val="center"/>
              <w:rPr>
                <w:rFonts w:asciiTheme="minorEastAsia" w:hAnsiTheme="minorEastAsia" w:eastAsiaTheme="minorEastAsia" w:cstheme="minorEastAsia"/>
                <w:szCs w:val="21"/>
              </w:rPr>
            </w:pPr>
          </w:p>
        </w:tc>
        <w:tc>
          <w:tcPr>
            <w:tcW w:w="440" w:type="pct"/>
            <w:vAlign w:val="center"/>
          </w:tcPr>
          <w:p>
            <w:pPr>
              <w:spacing w:after="60" w:line="360" w:lineRule="auto"/>
              <w:jc w:val="center"/>
              <w:rPr>
                <w:rFonts w:asciiTheme="minorEastAsia" w:hAnsiTheme="minorEastAsia" w:eastAsiaTheme="minorEastAsia" w:cstheme="minorEastAsia"/>
                <w:b/>
                <w:szCs w:val="21"/>
              </w:rPr>
            </w:pPr>
          </w:p>
        </w:tc>
        <w:tc>
          <w:tcPr>
            <w:tcW w:w="3835" w:type="pct"/>
            <w:vAlign w:val="bottom"/>
          </w:tcPr>
          <w:p>
            <w:pPr>
              <w:pStyle w:val="24"/>
              <w:adjustRightInd w:val="0"/>
              <w:snapToGrid w:val="0"/>
              <w:spacing w:line="360" w:lineRule="auto"/>
              <w:jc w:val="both"/>
              <w:rPr>
                <w:rFonts w:hint="default"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lang w:val="en-US" w:eastAsia="zh-CN"/>
              </w:rPr>
              <w:t>23.</w:t>
            </w:r>
            <w:r>
              <w:rPr>
                <w:rFonts w:hint="eastAsia"/>
              </w:rPr>
              <w:t>语言采用php, javascript.</w:t>
            </w:r>
          </w:p>
        </w:tc>
        <w:tc>
          <w:tcPr>
            <w:tcW w:w="491" w:type="pct"/>
          </w:tcPr>
          <w:p>
            <w:pPr>
              <w:pStyle w:val="24"/>
              <w:adjustRightInd w:val="0"/>
              <w:snapToGrid w:val="0"/>
              <w:spacing w:line="360" w:lineRule="auto"/>
              <w:rPr>
                <w:rFonts w:asciiTheme="minorEastAsia" w:hAnsiTheme="minorEastAsia" w:eastAsiaTheme="minorEastAsia" w:cstheme="minorEastAsia"/>
                <w:bCs/>
                <w:color w:val="000000"/>
                <w:szCs w:val="21"/>
              </w:rPr>
            </w:pP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highlight w:val="yellow"/>
        </w:rPr>
      </w:pPr>
      <w:r>
        <w:rPr>
          <w:rFonts w:hint="eastAsia" w:ascii="宋体" w:hAnsi="宋体"/>
          <w:b/>
          <w:bCs/>
          <w:snapToGrid w:val="0"/>
          <w:kern w:val="0"/>
          <w:sz w:val="24"/>
          <w:highlight w:val="yellow"/>
        </w:rPr>
        <w:t>★三、商务要求</w:t>
      </w:r>
    </w:p>
    <w:tbl>
      <w:tblPr>
        <w:tblStyle w:val="52"/>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序号</w:t>
            </w:r>
          </w:p>
        </w:tc>
        <w:tc>
          <w:tcPr>
            <w:tcW w:w="1620"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目录</w:t>
            </w:r>
          </w:p>
        </w:tc>
        <w:tc>
          <w:tcPr>
            <w:tcW w:w="7559"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1</w:t>
            </w:r>
          </w:p>
        </w:tc>
        <w:tc>
          <w:tcPr>
            <w:tcW w:w="1620" w:type="dxa"/>
            <w:vMerge w:val="restart"/>
            <w:vAlign w:val="center"/>
          </w:tcPr>
          <w:p>
            <w:pPr>
              <w:spacing w:line="360" w:lineRule="auto"/>
              <w:jc w:val="center"/>
              <w:rPr>
                <w:rFonts w:asciiTheme="minorEastAsia" w:hAnsiTheme="minorEastAsia" w:eastAsiaTheme="minorEastAsia" w:cstheme="minorEastAsia"/>
                <w:b/>
                <w:kern w:val="0"/>
                <w:szCs w:val="21"/>
                <w:highlight w:val="yellow"/>
              </w:rPr>
            </w:pPr>
            <w:r>
              <w:rPr>
                <w:rFonts w:hint="eastAsia" w:asciiTheme="minorEastAsia" w:hAnsiTheme="minorEastAsia" w:eastAsiaTheme="minorEastAsia" w:cstheme="minorEastAsia"/>
                <w:b/>
                <w:kern w:val="0"/>
                <w:szCs w:val="21"/>
                <w:highlight w:val="yellow"/>
              </w:rPr>
              <w:t>质保期内</w:t>
            </w:r>
          </w:p>
          <w:p>
            <w:pPr>
              <w:spacing w:line="360" w:lineRule="auto"/>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b/>
                <w:kern w:val="0"/>
                <w:szCs w:val="21"/>
                <w:highlight w:val="yellow"/>
              </w:rPr>
              <w:t>维保服务</w:t>
            </w:r>
          </w:p>
        </w:tc>
        <w:tc>
          <w:tcPr>
            <w:tcW w:w="7559" w:type="dxa"/>
          </w:tcPr>
          <w:p>
            <w:pPr>
              <w:spacing w:line="360" w:lineRule="auto"/>
              <w:ind w:firstLine="420" w:firstLineChars="200"/>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
                <w:kern w:val="0"/>
                <w:szCs w:val="21"/>
                <w:highlight w:val="yellow"/>
              </w:rPr>
              <w:t>1.1供应商对所提供的软件系统要求提供至少一年的免费质保期，硬件设备整机要求提供至少三年免费质保期，（均以验收合格之日起计算）；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kern w:val="0"/>
                <w:szCs w:val="21"/>
                <w:highlight w:val="yellow"/>
              </w:rPr>
            </w:pPr>
          </w:p>
        </w:tc>
        <w:tc>
          <w:tcPr>
            <w:tcW w:w="7559" w:type="dxa"/>
          </w:tcPr>
          <w:p>
            <w:pPr>
              <w:spacing w:line="360" w:lineRule="auto"/>
              <w:ind w:firstLine="420" w:firstLineChars="200"/>
              <w:rPr>
                <w:rFonts w:asciiTheme="minorEastAsia" w:hAnsiTheme="minorEastAsia" w:eastAsiaTheme="minorEastAsia" w:cstheme="minorEastAsia"/>
                <w:b/>
                <w:kern w:val="0"/>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
                <w:kern w:val="0"/>
                <w:szCs w:val="21"/>
                <w:highlight w:val="yellow"/>
              </w:rPr>
              <w:t>1.2免费质保期内，保证每年有</w:t>
            </w:r>
            <w:r>
              <w:rPr>
                <w:rFonts w:hint="eastAsia" w:asciiTheme="minorEastAsia" w:hAnsiTheme="minorEastAsia" w:eastAsiaTheme="minorEastAsia" w:cstheme="minorEastAsia"/>
                <w:b/>
                <w:kern w:val="0"/>
                <w:szCs w:val="21"/>
                <w:highlight w:val="yellow"/>
                <w:u w:val="single"/>
              </w:rPr>
              <w:t xml:space="preserve">4 </w:t>
            </w:r>
            <w:r>
              <w:rPr>
                <w:rFonts w:hint="eastAsia" w:asciiTheme="minorEastAsia" w:hAnsiTheme="minorEastAsia" w:eastAsiaTheme="minorEastAsia" w:cstheme="minorEastAsia"/>
                <w:b/>
                <w:kern w:val="0"/>
                <w:szCs w:val="21"/>
                <w:highlight w:val="yellow"/>
              </w:rPr>
              <w:t>次或以上预防性维护保养，保修期内免费维修并承担更换零备件的费用。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kern w:val="0"/>
                <w:szCs w:val="21"/>
                <w:highlight w:val="yellow"/>
              </w:rPr>
            </w:pPr>
          </w:p>
        </w:tc>
        <w:tc>
          <w:tcPr>
            <w:tcW w:w="7559" w:type="dxa"/>
          </w:tcPr>
          <w:p>
            <w:pPr>
              <w:spacing w:line="36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宋体" w:hAnsi="宋体" w:cs="宋体"/>
                <w:highlight w:val="yellow"/>
              </w:rPr>
              <w:t>1.3技术支持及故障响应：质保期内，</w:t>
            </w:r>
            <w:r>
              <w:rPr>
                <w:rFonts w:hint="eastAsia" w:asciiTheme="minorEastAsia" w:hAnsiTheme="minorEastAsia" w:eastAsiaTheme="minorEastAsia" w:cstheme="minorEastAsia"/>
                <w:bCs/>
                <w:szCs w:val="21"/>
                <w:highlight w:val="yellow"/>
              </w:rPr>
              <w:t>如遇故障1小时内响应，24小时内完成系统修复（不可抗力情况除外）。质保期内及外系统出现故障不能正常使用，中标人应免费提供备用平台，直至修复完好投入使用。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kern w:val="0"/>
                <w:szCs w:val="21"/>
                <w:highlight w:val="yellow"/>
              </w:rPr>
            </w:pPr>
          </w:p>
        </w:tc>
        <w:tc>
          <w:tcPr>
            <w:tcW w:w="7559" w:type="dxa"/>
          </w:tcPr>
          <w:p>
            <w:pPr>
              <w:spacing w:line="36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1.4软件使用期间中标人每季度至少回访采购方使用科室一次并对软件进行维护并留存维护记录。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1</w:t>
            </w:r>
          </w:p>
        </w:tc>
        <w:tc>
          <w:tcPr>
            <w:tcW w:w="1620"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kern w:val="0"/>
                <w:szCs w:val="21"/>
                <w:highlight w:val="yellow"/>
              </w:rPr>
              <w:t>保外维保要求</w:t>
            </w:r>
          </w:p>
        </w:tc>
        <w:tc>
          <w:tcPr>
            <w:tcW w:w="7559" w:type="dxa"/>
          </w:tcPr>
          <w:p>
            <w:pPr>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1.1中标人对软件终身负责维护、升级软件服务。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7559" w:type="dxa"/>
          </w:tcPr>
          <w:p>
            <w:pPr>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1.2中标人应以最优惠方案收取质保期满后每年运营维护服务费用，运营维护服务报价明细必须填写于《合同报价明清单》中。采购人可与中标人就优惠价进行谈判，</w:t>
            </w:r>
            <w:r>
              <w:rPr>
                <w:rFonts w:hint="eastAsia" w:ascii="宋体" w:hAnsi="宋体" w:cs="宋体"/>
                <w:highlight w:val="yellow"/>
              </w:rPr>
              <w:t>免费保修期满后年度的维保费不得超过合同总金额的6</w:t>
            </w:r>
            <w:r>
              <w:rPr>
                <w:rFonts w:ascii="宋体" w:hAnsi="宋体" w:cs="宋体"/>
                <w:highlight w:val="yellow"/>
              </w:rPr>
              <w:t>%</w:t>
            </w:r>
            <w:r>
              <w:rPr>
                <w:rFonts w:hint="eastAsia" w:ascii="宋体" w:hAnsi="宋体" w:cs="宋体"/>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2</w:t>
            </w:r>
          </w:p>
        </w:tc>
        <w:tc>
          <w:tcPr>
            <w:tcW w:w="1620"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软件备份</w:t>
            </w:r>
          </w:p>
        </w:tc>
        <w:tc>
          <w:tcPr>
            <w:tcW w:w="7559" w:type="dxa"/>
          </w:tcPr>
          <w:p>
            <w:pPr>
              <w:spacing w:line="360" w:lineRule="auto"/>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2.1免费提供软件升级服务,并免费开放软件接口。如采购人需要实现与采购人其他信息系统对接，无偿派人或远程配合与采购人信息系统的连接工作(不额外收取接口费)，直至该系统与采购人信息系统可进行完整的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1</w:t>
            </w:r>
          </w:p>
        </w:tc>
        <w:tc>
          <w:tcPr>
            <w:tcW w:w="1620"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报价要求</w:t>
            </w:r>
          </w:p>
        </w:tc>
        <w:tc>
          <w:tcPr>
            <w:tcW w:w="7559" w:type="dxa"/>
          </w:tcPr>
          <w:p>
            <w:pPr>
              <w:rPr>
                <w:highlight w:val="yellow"/>
              </w:rPr>
            </w:pPr>
            <w:r>
              <w:rPr>
                <w:rFonts w:hint="eastAsia" w:asciiTheme="minorEastAsia" w:hAnsiTheme="minorEastAsia" w:eastAsiaTheme="minorEastAsia" w:cstheme="minorEastAsia"/>
                <w:kern w:val="0"/>
                <w:szCs w:val="21"/>
                <w:highlight w:val="yellow"/>
              </w:rPr>
              <w:t>★</w:t>
            </w:r>
            <w:r>
              <w:rPr>
                <w:rFonts w:hint="eastAsia" w:ascii="宋体" w:hAnsi="宋体" w:cs="宋体"/>
                <w:highlight w:val="yellow"/>
              </w:rPr>
              <w:t>1.1投标总价必须是完成该项目的一切费用总和，包括设备费、运输费、技术人员费用、技术培训费、设备安装费、接口费、软件调试费、售后服务费、国家规定的各项税费等全部费用。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2</w:t>
            </w:r>
          </w:p>
        </w:tc>
        <w:tc>
          <w:tcPr>
            <w:tcW w:w="1620" w:type="dxa"/>
            <w:vMerge w:val="restart"/>
            <w:vAlign w:val="center"/>
          </w:tcPr>
          <w:p>
            <w:pPr>
              <w:spacing w:line="360" w:lineRule="auto"/>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b/>
                <w:szCs w:val="21"/>
                <w:highlight w:val="yellow"/>
              </w:rPr>
              <w:t>交货要求</w:t>
            </w:r>
          </w:p>
        </w:tc>
        <w:tc>
          <w:tcPr>
            <w:tcW w:w="7559" w:type="dxa"/>
          </w:tcPr>
          <w:p>
            <w:pPr>
              <w:spacing w:line="360" w:lineRule="auto"/>
              <w:rPr>
                <w:highlight w:val="yellow"/>
              </w:rPr>
            </w:pPr>
            <w:r>
              <w:rPr>
                <w:rFonts w:hint="eastAsia"/>
                <w:highlight w:val="yellow"/>
              </w:rPr>
              <w:t>★2.1签订合同之日起90天（日历日）内交货。（日历日为自然天，包括双休日及法定节假日，不等同于工作日。指合同生效后，成交方将全部货物运抵，并完成安装、调试、试运行、验收合格，正式交付用户使用所需的时间（产品的附件、备品备件及专用工具、技术文件和资料等应随产品一同交付）。交货地点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7559" w:type="dxa"/>
          </w:tcPr>
          <w:p>
            <w:pPr>
              <w:pStyle w:val="11"/>
              <w:spacing w:line="360" w:lineRule="auto"/>
              <w:ind w:firstLine="0" w:firstLineChars="0"/>
              <w:rPr>
                <w:highlight w:val="yellow"/>
              </w:rPr>
            </w:pPr>
            <w:r>
              <w:rPr>
                <w:rFonts w:hint="eastAsia" w:asciiTheme="minorEastAsia" w:hAnsiTheme="minorEastAsia" w:eastAsiaTheme="minorEastAsia" w:cstheme="minorEastAsia"/>
                <w:kern w:val="0"/>
                <w:szCs w:val="21"/>
                <w:highlight w:val="yellow"/>
              </w:rPr>
              <w:t>★</w:t>
            </w:r>
            <w:r>
              <w:rPr>
                <w:rFonts w:hint="eastAsia"/>
                <w:highlight w:val="yellow"/>
              </w:rPr>
              <w:t>2.2系统上线前，中标人需对系统所有功能进行调试测试，确保交付给采购人的系统功能无重大漏洞及错误。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7559" w:type="dxa"/>
          </w:tcPr>
          <w:p>
            <w:pPr>
              <w:spacing w:line="360" w:lineRule="auto"/>
              <w:rPr>
                <w:highlight w:val="yellow"/>
              </w:rPr>
            </w:pPr>
            <w:r>
              <w:rPr>
                <w:rFonts w:hint="eastAsia" w:asciiTheme="minorEastAsia" w:hAnsiTheme="minorEastAsia" w:eastAsiaTheme="minorEastAsia" w:cstheme="minorEastAsia"/>
                <w:kern w:val="0"/>
                <w:szCs w:val="21"/>
                <w:highlight w:val="yellow"/>
              </w:rPr>
              <w:t>★</w:t>
            </w:r>
            <w:r>
              <w:rPr>
                <w:rFonts w:hint="eastAsia"/>
                <w:highlight w:val="yellow"/>
              </w:rPr>
              <w:t>2.3中标人完成系统所有功能上线后，需由采购人对系统功能进行逐一验证，方可完成交付。如在验证过程中发现中标人交付的系统不能完全满足采购文件、投标文件、合同约定具有的功能的，中标人应当立即整改直到所交付的系统完全满足采购文件、投标文件及合同约定为止。因中标人交付的系统不合要求进行整改产生的全部成本，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szCs w:val="21"/>
                <w:highlight w:val="yellow"/>
              </w:rPr>
            </w:pPr>
          </w:p>
        </w:tc>
        <w:tc>
          <w:tcPr>
            <w:tcW w:w="7559" w:type="dxa"/>
          </w:tcPr>
          <w:p>
            <w:pPr>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color w:val="000000" w:themeColor="text1"/>
                <w:szCs w:val="21"/>
                <w:highlight w:val="yellow"/>
                <w14:textFill>
                  <w14:solidFill>
                    <w14:schemeClr w14:val="tx1"/>
                  </w14:solidFill>
                </w14:textFill>
              </w:rPr>
              <w:t>2.4中标人应向采购人提供软件相关的操作手册、接口文档；硬件相关的配置清单、产品说明书、售后服务联系人信息等材料和信息。所有外文资料需提供中文译本。文件应随货物一并交付至采购人指点地点。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szCs w:val="21"/>
                <w:highlight w:val="yellow"/>
              </w:rPr>
            </w:pPr>
          </w:p>
        </w:tc>
        <w:tc>
          <w:tcPr>
            <w:tcW w:w="7559" w:type="dxa"/>
          </w:tcPr>
          <w:p>
            <w:pPr>
              <w:spacing w:line="360" w:lineRule="auto"/>
              <w:rPr>
                <w:rFonts w:asciiTheme="minorEastAsia" w:hAnsiTheme="minorEastAsia" w:eastAsiaTheme="minorEastAsia" w:cstheme="minorEastAsia"/>
                <w:spacing w:val="-3"/>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2.5采购人有权检验或测试货物，以确认货物是否符合合同规格的要求，并且不承担额外的费用。如发现所交货物与投标文件中所承诺的不符或存在质量、技术缺陷等,采购人可以拒绝接收该货物,中标人应在7个日历日内采取补足、更换或退货等措施,以满足规格的要求，由此发生的一切损失和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3</w:t>
            </w:r>
          </w:p>
        </w:tc>
        <w:tc>
          <w:tcPr>
            <w:tcW w:w="1620" w:type="dxa"/>
            <w:vMerge w:val="restart"/>
            <w:vAlign w:val="center"/>
          </w:tcPr>
          <w:p>
            <w:pPr>
              <w:spacing w:line="360" w:lineRule="auto"/>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b/>
                <w:bCs/>
                <w:kern w:val="0"/>
                <w:szCs w:val="21"/>
                <w:highlight w:val="yellow"/>
              </w:rPr>
              <w:t>运输、安装和验收</w:t>
            </w:r>
          </w:p>
        </w:tc>
        <w:tc>
          <w:tcPr>
            <w:tcW w:w="7559" w:type="dxa"/>
          </w:tcPr>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3.1中标人应派有经验的技术人员到现场进行系统部署安装、调试，直到系统正常运行使用。由采购人按合同和招标、投标文件约定的要求和标准及中华人民共和国现行的验收规范和评定标准进行交货验收。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szCs w:val="21"/>
                <w:highlight w:val="yellow"/>
              </w:rPr>
            </w:pPr>
          </w:p>
        </w:tc>
        <w:tc>
          <w:tcPr>
            <w:tcW w:w="7559" w:type="dxa"/>
          </w:tcPr>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3.2自系统安装工作开始，中标供应商应与采购人的工作人员一起参与现场的部署安装等各项工作。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7559" w:type="dxa"/>
          </w:tcPr>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 xml:space="preserve">3.3 验收要求：系统必须满足以下条件后方可被采购方接受： </w:t>
            </w:r>
          </w:p>
          <w:p>
            <w:pPr>
              <w:adjustRightInd w:val="0"/>
              <w:snapToGrid w:val="0"/>
              <w:spacing w:line="36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1）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adjustRightInd w:val="0"/>
              <w:snapToGrid w:val="0"/>
              <w:spacing w:line="36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2）按照招标书要求及投标文件提供的技术要求验收必须合格。</w:t>
            </w:r>
          </w:p>
          <w:p>
            <w:pPr>
              <w:tabs>
                <w:tab w:val="left" w:pos="1260"/>
              </w:tabs>
              <w:spacing w:line="36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3）在货物安装调试合格后，所有技术指标达到技术规范书要求，经验收合格后，双方共同签署验收报告。产品质保期自验收合格之日起算，由中标人提供产品质保文件。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7559" w:type="dxa"/>
          </w:tcPr>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3.4中标人在项目验收通过后向采购单位提供该项目形成的成果和相关文档。中标人向采购单位提供的成果和文档资料不得人为设置技术障碍影响采购单位的维护和二次开发。</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本项目交付成果（包括但不限于以下内容）：</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①《项目实施计划》</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②《需求说明书》</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③《上线试运行确认单》</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④《系统技术文档》</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⑤《系统管理员手册》</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⑥《用户手册》</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⑦ 安装部署说明文档</w:t>
            </w:r>
          </w:p>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⑧ 表结构说明与数据字典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7559" w:type="dxa"/>
          </w:tcPr>
          <w:p>
            <w:pPr>
              <w:adjustRightInd w:val="0"/>
              <w:snapToGrid w:val="0"/>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3.5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4</w:t>
            </w:r>
          </w:p>
        </w:tc>
        <w:tc>
          <w:tcPr>
            <w:tcW w:w="1620"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kern w:val="0"/>
                <w:szCs w:val="21"/>
                <w:highlight w:val="yellow"/>
              </w:rPr>
              <w:t>培训</w:t>
            </w:r>
          </w:p>
        </w:tc>
        <w:tc>
          <w:tcPr>
            <w:tcW w:w="7559" w:type="dxa"/>
          </w:tcPr>
          <w:p>
            <w:pPr>
              <w:spacing w:line="360" w:lineRule="auto"/>
              <w:rPr>
                <w:rFonts w:asciiTheme="minorEastAsia" w:hAnsiTheme="minorEastAsia" w:eastAsiaTheme="minorEastAsia" w:cstheme="minorEastAsia"/>
                <w:bCs/>
                <w:kern w:val="0"/>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color w:val="000000" w:themeColor="text1"/>
                <w:szCs w:val="21"/>
                <w:highlight w:val="yellow"/>
                <w14:textFill>
                  <w14:solidFill>
                    <w14:schemeClr w14:val="tx1"/>
                  </w14:solidFill>
                </w14:textFill>
              </w:rPr>
              <w:t>4.1中标人需针对临床使用人员设计培训方案，主要内容包括但不限于：信息系统临床使用培训；</w:t>
            </w:r>
            <w:r>
              <w:rPr>
                <w:rFonts w:hint="eastAsia" w:ascii="宋体" w:hAnsi="宋体" w:cs="宋体"/>
                <w:highlight w:val="yellow"/>
              </w:rPr>
              <w:t>系统各功能模块的操作、系统基础数据的维护、</w:t>
            </w:r>
            <w:r>
              <w:rPr>
                <w:rFonts w:hint="eastAsia" w:asciiTheme="minorEastAsia" w:hAnsiTheme="minorEastAsia" w:eastAsiaTheme="minorEastAsia" w:cstheme="minorEastAsia"/>
                <w:bCs/>
                <w:color w:val="000000" w:themeColor="text1"/>
                <w:szCs w:val="21"/>
                <w:highlight w:val="yellow"/>
                <w14:textFill>
                  <w14:solidFill>
                    <w14:schemeClr w14:val="tx1"/>
                  </w14:solidFill>
                </w14:textFill>
              </w:rPr>
              <w:t>常见故障的排除，紧急情况的处理等,直至能独立操作系统并附培训方案。若采购人需要，中标人需开展多次培训，直至用户熟练掌握系统的使用方法。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kern w:val="0"/>
                <w:szCs w:val="21"/>
                <w:highlight w:val="yellow"/>
              </w:rPr>
            </w:pPr>
            <w:r>
              <w:rPr>
                <w:rFonts w:hint="eastAsia" w:asciiTheme="minorEastAsia" w:hAnsiTheme="minorEastAsia" w:eastAsiaTheme="minorEastAsia" w:cstheme="minorEastAsia"/>
                <w:b/>
                <w:kern w:val="0"/>
                <w:szCs w:val="21"/>
                <w:highlight w:val="yellow"/>
              </w:rPr>
              <w:t>5</w:t>
            </w:r>
          </w:p>
        </w:tc>
        <w:tc>
          <w:tcPr>
            <w:tcW w:w="1620" w:type="dxa"/>
            <w:vMerge w:val="restart"/>
            <w:vAlign w:val="center"/>
          </w:tcPr>
          <w:p>
            <w:pPr>
              <w:tabs>
                <w:tab w:val="left" w:pos="1260"/>
              </w:tabs>
              <w:spacing w:line="360" w:lineRule="auto"/>
              <w:jc w:val="center"/>
              <w:rPr>
                <w:rFonts w:asciiTheme="minorEastAsia" w:hAnsiTheme="minorEastAsia" w:eastAsiaTheme="minorEastAsia" w:cstheme="minorEastAsia"/>
                <w:b/>
                <w:kern w:val="0"/>
                <w:szCs w:val="21"/>
                <w:highlight w:val="yellow"/>
              </w:rPr>
            </w:pPr>
            <w:r>
              <w:rPr>
                <w:rFonts w:hint="eastAsia" w:asciiTheme="minorEastAsia" w:hAnsiTheme="minorEastAsia" w:eastAsiaTheme="minorEastAsia" w:cstheme="minorEastAsia"/>
                <w:b/>
                <w:kern w:val="0"/>
                <w:szCs w:val="21"/>
                <w:highlight w:val="yellow"/>
              </w:rPr>
              <w:t>知识产权</w:t>
            </w:r>
          </w:p>
        </w:tc>
        <w:tc>
          <w:tcPr>
            <w:tcW w:w="7559" w:type="dxa"/>
          </w:tcPr>
          <w:p>
            <w:pPr>
              <w:tabs>
                <w:tab w:val="left" w:pos="1260"/>
              </w:tabs>
              <w:spacing w:line="360" w:lineRule="auto"/>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★5.1投标人保证其提供的产品和为本项目安装的软件均为具有合法版权或使用权的正版软件且无质量瑕疵。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kern w:val="0"/>
                <w:szCs w:val="21"/>
                <w:highlight w:val="yellow"/>
              </w:rPr>
            </w:pPr>
          </w:p>
        </w:tc>
        <w:tc>
          <w:tcPr>
            <w:tcW w:w="1620" w:type="dxa"/>
            <w:vMerge w:val="continue"/>
            <w:vAlign w:val="center"/>
          </w:tcPr>
          <w:p>
            <w:pPr>
              <w:tabs>
                <w:tab w:val="left" w:pos="1260"/>
              </w:tabs>
              <w:spacing w:line="360" w:lineRule="auto"/>
              <w:jc w:val="center"/>
              <w:rPr>
                <w:rFonts w:asciiTheme="minorEastAsia" w:hAnsiTheme="minorEastAsia" w:eastAsiaTheme="minorEastAsia" w:cstheme="minorEastAsia"/>
                <w:b/>
                <w:kern w:val="0"/>
                <w:szCs w:val="21"/>
                <w:highlight w:val="yellow"/>
              </w:rPr>
            </w:pPr>
          </w:p>
        </w:tc>
        <w:tc>
          <w:tcPr>
            <w:tcW w:w="7559" w:type="dxa"/>
          </w:tcPr>
          <w:p>
            <w:pPr>
              <w:tabs>
                <w:tab w:val="left" w:pos="1260"/>
              </w:tabs>
              <w:spacing w:line="360" w:lineRule="auto"/>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★5.2</w:t>
            </w:r>
            <w:r>
              <w:rPr>
                <w:rFonts w:hint="eastAsia" w:asciiTheme="minorEastAsia" w:hAnsiTheme="minorEastAsia" w:eastAsiaTheme="minorEastAsia" w:cstheme="minorEastAsia"/>
                <w:color w:val="000000"/>
                <w:szCs w:val="21"/>
                <w:highlight w:val="yellow"/>
              </w:rPr>
              <w:t>供应商应保证采购人在使用该货物或其任何一部分时，免受第三方提出的侵犯其专利权、商标权、著作权或其它知识产权的起诉。供应商保证所提供软件的合法性，所发生的任何知识产权纠纷与采购人无关。若因为知识产权纠纷造成的一切损害赔偿及损失由供应商承担，包括但不限于实际损失、预期损失和对方要求赔偿损失及支出的律师费、交通费和差旅费等。</w:t>
            </w:r>
            <w:r>
              <w:rPr>
                <w:rFonts w:hint="eastAsia" w:asciiTheme="minorEastAsia" w:hAnsiTheme="minorEastAsia" w:eastAsiaTheme="minorEastAsia" w:cstheme="minorEastAsia"/>
                <w:kern w:val="0"/>
                <w:szCs w:val="21"/>
                <w:highlight w:val="yellow"/>
              </w:rPr>
              <w:t>（须中标人提供承诺函加盖公章）。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kern w:val="0"/>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kern w:val="0"/>
                <w:szCs w:val="21"/>
                <w:highlight w:val="yellow"/>
              </w:rPr>
            </w:pPr>
          </w:p>
        </w:tc>
        <w:tc>
          <w:tcPr>
            <w:tcW w:w="7559" w:type="dxa"/>
          </w:tcPr>
          <w:p>
            <w:pPr>
              <w:spacing w:line="360" w:lineRule="auto"/>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★5.3</w:t>
            </w:r>
            <w:r>
              <w:rPr>
                <w:rFonts w:hint="eastAsia" w:asciiTheme="minorEastAsia" w:hAnsiTheme="minorEastAsia" w:eastAsiaTheme="minorEastAsia" w:cstheme="minorEastAsia"/>
                <w:color w:val="000000"/>
                <w:szCs w:val="21"/>
                <w:highlight w:val="yellow"/>
              </w:rPr>
              <w:t>采购人购买产品后，有权对该产品与其他设备进行配套、整合或适当改进，而免受侵犯专利权的起诉。若因为知识产权纠纷造成的一切损害赔偿及损失由供应商承担，包括但不限于实际损失、预期损失和对方要求赔偿损失及支出的律师费、交通费和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6</w:t>
            </w:r>
          </w:p>
        </w:tc>
        <w:tc>
          <w:tcPr>
            <w:tcW w:w="1620" w:type="dxa"/>
            <w:vMerge w:val="restart"/>
            <w:vAlign w:val="center"/>
          </w:tcPr>
          <w:p>
            <w:pPr>
              <w:spacing w:line="360" w:lineRule="auto"/>
              <w:jc w:val="center"/>
              <w:rPr>
                <w:rFonts w:asciiTheme="minorEastAsia" w:hAnsiTheme="minorEastAsia" w:eastAsiaTheme="minorEastAsia" w:cstheme="minorEastAsia"/>
                <w:b/>
                <w:bCs/>
                <w:kern w:val="0"/>
                <w:szCs w:val="21"/>
                <w:highlight w:val="yellow"/>
              </w:rPr>
            </w:pPr>
            <w:r>
              <w:rPr>
                <w:rFonts w:hint="eastAsia" w:asciiTheme="minorEastAsia" w:hAnsiTheme="minorEastAsia" w:eastAsiaTheme="minorEastAsia" w:cstheme="minorEastAsia"/>
                <w:b/>
                <w:bCs/>
                <w:kern w:val="0"/>
                <w:szCs w:val="21"/>
                <w:highlight w:val="yellow"/>
              </w:rPr>
              <w:t>付款方式</w:t>
            </w:r>
          </w:p>
        </w:tc>
        <w:tc>
          <w:tcPr>
            <w:tcW w:w="7559" w:type="dxa"/>
          </w:tcPr>
          <w:p>
            <w:pPr>
              <w:adjustRightInd w:val="0"/>
              <w:snapToGrid w:val="0"/>
              <w:spacing w:line="520" w:lineRule="atLeast"/>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★6.1具体按照采购人财务相关规定付款。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bCs/>
                <w:kern w:val="0"/>
                <w:szCs w:val="21"/>
                <w:highlight w:val="yellow"/>
              </w:rPr>
            </w:pPr>
          </w:p>
        </w:tc>
        <w:tc>
          <w:tcPr>
            <w:tcW w:w="7559" w:type="dxa"/>
          </w:tcPr>
          <w:p>
            <w:pPr>
              <w:numPr>
                <w:ilvl w:val="255"/>
                <w:numId w:val="0"/>
              </w:numPr>
              <w:adjustRightInd w:val="0"/>
              <w:snapToGrid w:val="0"/>
              <w:spacing w:line="520" w:lineRule="atLeas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szCs w:val="21"/>
                <w:highlight w:val="yellow"/>
              </w:rPr>
              <w:t>6.2.合同签订后，中标人向采购人支付合同总金额 5 %的履约保证金，</w:t>
            </w:r>
            <w:r>
              <w:rPr>
                <w:rFonts w:hint="eastAsia" w:ascii="宋体" w:hAnsi="宋体" w:cs="宋体"/>
                <w:highlight w:val="yellow"/>
              </w:rPr>
              <w:t>用于补偿采购人因中标供应商不履行或不妥善履行合同义务而蒙受的损失，如中标供应商不履行或不妥善履行合同义务的，采购人有权直接从履约保证金中扣除相应违约金/损失赔偿款项。采购人收到履约保证金后向中标人支付合同总价30%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bCs/>
                <w:kern w:val="0"/>
                <w:szCs w:val="21"/>
                <w:highlight w:val="yellow"/>
              </w:rPr>
            </w:pPr>
          </w:p>
        </w:tc>
        <w:tc>
          <w:tcPr>
            <w:tcW w:w="7559" w:type="dxa"/>
          </w:tcPr>
          <w:p>
            <w:pPr>
              <w:numPr>
                <w:ilvl w:val="255"/>
                <w:numId w:val="0"/>
              </w:numPr>
              <w:adjustRightInd w:val="0"/>
              <w:snapToGrid w:val="0"/>
              <w:spacing w:line="520" w:lineRule="atLeas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szCs w:val="21"/>
                <w:highlight w:val="yellow"/>
              </w:rPr>
              <w:t>6.3项目验收合格后，采购人向中标人支付合同总价70%的款项。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spacing w:line="360" w:lineRule="auto"/>
              <w:jc w:val="center"/>
              <w:rPr>
                <w:rFonts w:asciiTheme="minorEastAsia" w:hAnsiTheme="minorEastAsia" w:eastAsiaTheme="minorEastAsia" w:cstheme="minorEastAsia"/>
                <w:b/>
                <w:bCs/>
                <w:kern w:val="0"/>
                <w:szCs w:val="21"/>
                <w:highlight w:val="yellow"/>
              </w:rPr>
            </w:pPr>
          </w:p>
        </w:tc>
        <w:tc>
          <w:tcPr>
            <w:tcW w:w="7559" w:type="dxa"/>
          </w:tcPr>
          <w:p>
            <w:pPr>
              <w:numPr>
                <w:ilvl w:val="255"/>
                <w:numId w:val="0"/>
              </w:numPr>
              <w:adjustRightInd w:val="0"/>
              <w:snapToGrid w:val="0"/>
              <w:spacing w:line="520" w:lineRule="atLeas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szCs w:val="21"/>
                <w:highlight w:val="yellow"/>
              </w:rPr>
              <w:t>6.4免费维护期满后，中标人无任何违约行为的，采购人于收到中标人申请退回履约保证金的书面申请后30日（最长不超过60日）内无息退还履约保证金。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7</w:t>
            </w:r>
          </w:p>
        </w:tc>
        <w:tc>
          <w:tcPr>
            <w:tcW w:w="1620" w:type="dxa"/>
            <w:vMerge w:val="restart"/>
            <w:vAlign w:val="center"/>
          </w:tcPr>
          <w:p>
            <w:pPr>
              <w:tabs>
                <w:tab w:val="left" w:pos="1260"/>
              </w:tabs>
              <w:spacing w:line="360" w:lineRule="auto"/>
              <w:jc w:val="center"/>
              <w:rPr>
                <w:rFonts w:asciiTheme="minorEastAsia" w:hAnsiTheme="minorEastAsia" w:eastAsiaTheme="minorEastAsia" w:cstheme="minorEastAsia"/>
                <w:b/>
                <w:kern w:val="0"/>
                <w:szCs w:val="21"/>
                <w:highlight w:val="yellow"/>
              </w:rPr>
            </w:pPr>
            <w:r>
              <w:rPr>
                <w:rFonts w:hint="eastAsia" w:asciiTheme="minorEastAsia" w:hAnsiTheme="minorEastAsia" w:eastAsiaTheme="minorEastAsia" w:cstheme="minorEastAsia"/>
                <w:b/>
                <w:kern w:val="0"/>
                <w:szCs w:val="21"/>
                <w:highlight w:val="yellow"/>
              </w:rPr>
              <w:t>违约责任</w:t>
            </w:r>
          </w:p>
        </w:tc>
        <w:tc>
          <w:tcPr>
            <w:tcW w:w="7559" w:type="dxa"/>
          </w:tcPr>
          <w:p>
            <w:pPr>
              <w:adjustRightInd w:val="0"/>
              <w:snapToGrid w:val="0"/>
              <w:spacing w:line="520" w:lineRule="atLeast"/>
              <w:rPr>
                <w:rFonts w:asciiTheme="minorEastAsia" w:hAnsiTheme="minorEastAsia" w:eastAsiaTheme="minorEastAsia" w:cstheme="minorEastAsia"/>
                <w:bCs/>
                <w:kern w:val="0"/>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7.1中标人所交信息系统的功能、技术参数等方面不能实质性满足招标文件，交付不符合合同规定的，采购人有权拒绝验收，且中标人向采购人支付合同总价的5%的违约金。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834" w:type="dxa"/>
            <w:vMerge w:val="continue"/>
            <w:vAlign w:val="center"/>
          </w:tcPr>
          <w:p>
            <w:pPr>
              <w:spacing w:line="360" w:lineRule="auto"/>
              <w:jc w:val="center"/>
              <w:rPr>
                <w:rFonts w:asciiTheme="minorEastAsia" w:hAnsiTheme="minorEastAsia" w:eastAsiaTheme="minorEastAsia" w:cstheme="minorEastAsia"/>
                <w:b/>
                <w:szCs w:val="21"/>
                <w:highlight w:val="yellow"/>
              </w:rPr>
            </w:pPr>
          </w:p>
        </w:tc>
        <w:tc>
          <w:tcPr>
            <w:tcW w:w="1620" w:type="dxa"/>
            <w:vMerge w:val="continue"/>
            <w:vAlign w:val="center"/>
          </w:tcPr>
          <w:p>
            <w:pPr>
              <w:tabs>
                <w:tab w:val="left" w:pos="1260"/>
              </w:tabs>
              <w:spacing w:line="360" w:lineRule="auto"/>
              <w:jc w:val="center"/>
              <w:rPr>
                <w:rFonts w:asciiTheme="minorEastAsia" w:hAnsiTheme="minorEastAsia" w:eastAsiaTheme="minorEastAsia" w:cstheme="minorEastAsia"/>
                <w:b/>
                <w:kern w:val="0"/>
                <w:szCs w:val="21"/>
                <w:highlight w:val="yellow"/>
              </w:rPr>
            </w:pPr>
          </w:p>
        </w:tc>
        <w:tc>
          <w:tcPr>
            <w:tcW w:w="7559" w:type="dxa"/>
          </w:tcPr>
          <w:p>
            <w:pPr>
              <w:adjustRightInd w:val="0"/>
              <w:snapToGrid w:val="0"/>
              <w:spacing w:line="520" w:lineRule="atLeast"/>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7.2中标人逾期验收，或逾期完成安装调试等，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7.1条同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34" w:type="dxa"/>
            <w:vAlign w:val="center"/>
          </w:tcPr>
          <w:p>
            <w:pPr>
              <w:spacing w:line="36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8</w:t>
            </w:r>
          </w:p>
        </w:tc>
        <w:tc>
          <w:tcPr>
            <w:tcW w:w="1620" w:type="dxa"/>
            <w:vAlign w:val="center"/>
          </w:tcPr>
          <w:p>
            <w:pPr>
              <w:spacing w:line="360" w:lineRule="auto"/>
              <w:jc w:val="center"/>
              <w:rPr>
                <w:rFonts w:asciiTheme="minorEastAsia" w:hAnsiTheme="minorEastAsia" w:eastAsiaTheme="minorEastAsia" w:cstheme="minorEastAsia"/>
                <w:b/>
                <w:kern w:val="0"/>
                <w:szCs w:val="21"/>
                <w:highlight w:val="yellow"/>
              </w:rPr>
            </w:pPr>
            <w:r>
              <w:rPr>
                <w:rFonts w:hint="eastAsia" w:asciiTheme="minorEastAsia" w:hAnsiTheme="minorEastAsia" w:eastAsiaTheme="minorEastAsia" w:cstheme="minorEastAsia"/>
                <w:b/>
                <w:kern w:val="0"/>
                <w:szCs w:val="21"/>
                <w:highlight w:val="yellow"/>
              </w:rPr>
              <w:t>其他</w:t>
            </w:r>
          </w:p>
        </w:tc>
        <w:tc>
          <w:tcPr>
            <w:tcW w:w="7559" w:type="dxa"/>
            <w:vAlign w:val="center"/>
          </w:tcPr>
          <w:p>
            <w:pPr>
              <w:spacing w:line="360" w:lineRule="auto"/>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Cs/>
                <w:szCs w:val="21"/>
                <w:highlight w:val="yellow"/>
              </w:rPr>
              <w:t>8.1中标人所交付货物、工程或服务不符合其投标承诺的，或在投标阶段为中标而盲目虚假承诺、低价恶性竞争，在履约阶段则通过偷工减料、以次充好而获取利润的，将被没收全部履约保证金，并交主管部门遵照相关规定处理，所有责任由中标人一力承担。</w:t>
            </w:r>
          </w:p>
        </w:tc>
      </w:tr>
    </w:tbl>
    <w:p/>
    <w:p>
      <w:pPr>
        <w:pStyle w:val="2"/>
      </w:pPr>
    </w:p>
    <w:p>
      <w:pPr>
        <w:pStyle w:val="5"/>
      </w:pPr>
    </w:p>
    <w:p>
      <w:pPr>
        <w:pStyle w:val="5"/>
      </w:pPr>
    </w:p>
    <w:p>
      <w:pPr>
        <w:pStyle w:val="5"/>
      </w:pPr>
    </w:p>
    <w:p>
      <w:pPr>
        <w:pStyle w:val="5"/>
        <w:ind w:left="0" w:leftChars="0" w:firstLine="0" w:firstLineChars="0"/>
        <w:rPr>
          <w:rFonts w:hint="eastAsia"/>
        </w:rPr>
      </w:pPr>
    </w:p>
    <w:p>
      <w:pPr>
        <w:pStyle w:val="6"/>
      </w:pPr>
      <w:bookmarkStart w:id="2" w:name="_Toc110410287"/>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pPr>
      <w:r>
        <w:rPr>
          <w:rFonts w:hint="eastAsia" w:ascii="宋体" w:hAnsi="宋体"/>
          <w:snapToGrid w:val="0"/>
          <w:kern w:val="0"/>
        </w:rPr>
        <w:t>13、法律法规规定的其它情形。</w:t>
      </w:r>
    </w:p>
    <w:p/>
    <w:p>
      <w:pPr>
        <w:pStyle w:val="2"/>
      </w:pPr>
    </w:p>
    <w:p>
      <w:pPr>
        <w:pStyle w:val="5"/>
        <w:ind w:left="0" w:firstLine="0"/>
      </w:pPr>
    </w:p>
    <w:p>
      <w:pPr>
        <w:pStyle w:val="6"/>
        <w:spacing w:after="312" w:afterLines="100"/>
        <w:rPr>
          <w:rFonts w:hint="eastAsia"/>
        </w:rPr>
      </w:pPr>
      <w:bookmarkStart w:id="3" w:name="_Toc110410288"/>
    </w:p>
    <w:p>
      <w:pPr>
        <w:pStyle w:val="6"/>
        <w:spacing w:after="312" w:afterLines="100"/>
      </w:pPr>
      <w:r>
        <w:rPr>
          <w:rFonts w:hint="eastAsia"/>
        </w:rPr>
        <w:t>第四章  评标方法和标准</w:t>
      </w:r>
      <w:bookmarkEnd w:id="3"/>
    </w:p>
    <w:p>
      <w:pPr>
        <w:pStyle w:val="8"/>
        <w:spacing w:before="0" w:after="0"/>
      </w:pPr>
      <w:bookmarkStart w:id="4" w:name="_Toc44690429"/>
      <w:bookmarkStart w:id="5" w:name="_Toc44691393"/>
      <w:bookmarkStart w:id="6" w:name="_Toc44691161"/>
      <w:bookmarkStart w:id="7" w:name="_Toc44690702"/>
      <w:bookmarkStart w:id="8" w:name="_Toc110410289"/>
      <w:r>
        <w:rPr>
          <w:rFonts w:hint="eastAsia"/>
        </w:rPr>
        <w:t>一、</w:t>
      </w:r>
      <w:r>
        <w:t>评标方法</w:t>
      </w:r>
      <w:bookmarkEnd w:id="4"/>
      <w:bookmarkEnd w:id="5"/>
      <w:bookmarkEnd w:id="6"/>
      <w:bookmarkEnd w:id="7"/>
      <w:bookmarkEnd w:id="8"/>
    </w:p>
    <w:p>
      <w:pPr>
        <w:pStyle w:val="48"/>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8"/>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8"/>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8"/>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8"/>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8"/>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8"/>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具体操作办法及流程由评标委员会确定。</w:t>
      </w:r>
    </w:p>
    <w:p>
      <w:pPr>
        <w:pStyle w:val="48"/>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8"/>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8"/>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8"/>
        <w:spacing w:before="0" w:after="0"/>
      </w:pPr>
      <w:bookmarkStart w:id="9" w:name="_Toc110410290"/>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1061"/>
        <w:gridCol w:w="5601"/>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8"/>
              <w:spacing w:before="0" w:beforeAutospacing="0" w:after="0" w:afterAutospacing="0" w:line="360" w:lineRule="exact"/>
              <w:ind w:left="420" w:hanging="420"/>
              <w:rPr>
                <w:rFonts w:cs="仿宋" w:asciiTheme="minorEastAsia" w:hAnsiTheme="minorEastAsia" w:eastAsiaTheme="minorEastAsia"/>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8"/>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×30</w:t>
            </w:r>
          </w:p>
          <w:p>
            <w:pPr>
              <w:pStyle w:val="48"/>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8"/>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8"/>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注：对于符合 “政府采购扶持政策</w:t>
            </w:r>
            <w:r>
              <w:rPr>
                <w:rFonts w:hint="eastAsia" w:asciiTheme="minorEastAsia" w:hAnsiTheme="minorEastAsia" w:eastAsiaTheme="minorEastAsia"/>
                <w:b/>
                <w:bCs/>
                <w:snapToGrid w:val="0"/>
                <w:kern w:val="0"/>
                <w:szCs w:val="21"/>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1061"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601"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1061" w:type="dxa"/>
            <w:vAlign w:val="center"/>
          </w:tcPr>
          <w:p>
            <w:pPr>
              <w:widowControl/>
              <w:spacing w:line="360" w:lineRule="exact"/>
              <w:jc w:val="center"/>
              <w:rPr>
                <w:rFonts w:hint="default" w:cs="仿宋"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24</w:t>
            </w:r>
          </w:p>
        </w:tc>
        <w:tc>
          <w:tcPr>
            <w:tcW w:w="5601" w:type="dxa"/>
          </w:tcPr>
          <w:p>
            <w:pPr>
              <w:pStyle w:val="96"/>
              <w:spacing w:line="360" w:lineRule="exact"/>
              <w:ind w:firstLine="0" w:firstLineChars="0"/>
              <w:rPr>
                <w:rFonts w:ascii="宋体" w:hAnsi="宋体"/>
                <w:b/>
                <w:bCs/>
                <w:szCs w:val="21"/>
              </w:rPr>
            </w:pPr>
            <w:r>
              <w:rPr>
                <w:rFonts w:hint="eastAsia" w:ascii="宋体" w:hAnsi="宋体"/>
                <w:b/>
                <w:bCs/>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 2</w:t>
            </w:r>
            <w:r>
              <w:rPr>
                <w:rFonts w:hint="eastAsia" w:ascii="宋体" w:hAnsi="宋体" w:cs="仿宋"/>
                <w:szCs w:val="21"/>
                <w:lang w:val="en-US" w:eastAsia="zh-CN"/>
              </w:rPr>
              <w:t>4</w:t>
            </w:r>
            <w:r>
              <w:rPr>
                <w:rFonts w:hint="eastAsia" w:ascii="宋体" w:hAnsi="宋体" w:cs="仿宋"/>
                <w:szCs w:val="21"/>
              </w:rPr>
              <w:t>分；“▲”参数为重要指标，每负偏离一项扣</w:t>
            </w:r>
            <w:r>
              <w:rPr>
                <w:rFonts w:hint="eastAsia" w:ascii="宋体" w:hAnsi="宋体" w:cs="仿宋"/>
                <w:szCs w:val="21"/>
                <w:lang w:val="en-US" w:eastAsia="zh-CN"/>
              </w:rPr>
              <w:t>3</w:t>
            </w:r>
            <w:r>
              <w:rPr>
                <w:rFonts w:hint="eastAsia" w:ascii="宋体" w:hAnsi="宋体" w:cs="仿宋"/>
                <w:szCs w:val="21"/>
              </w:rPr>
              <w:t xml:space="preserve">分；其余指标每负偏离一项扣 </w:t>
            </w:r>
            <w:r>
              <w:rPr>
                <w:rFonts w:hint="eastAsia" w:ascii="宋体" w:hAnsi="宋体" w:cs="仿宋"/>
                <w:szCs w:val="21"/>
                <w:lang w:val="en-US" w:eastAsia="zh-CN"/>
              </w:rPr>
              <w:t>1</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b/>
                <w:bCs/>
                <w:kern w:val="0"/>
                <w:szCs w:val="21"/>
              </w:rPr>
            </w:pPr>
            <w:r>
              <w:rPr>
                <w:rFonts w:hint="eastAsia" w:ascii="宋体" w:hAnsi="宋体"/>
                <w:b/>
                <w:bCs/>
                <w:kern w:val="0"/>
                <w:szCs w:val="21"/>
              </w:rPr>
              <w:t>（二）评分依据：</w:t>
            </w:r>
          </w:p>
          <w:p>
            <w:pPr>
              <w:widowControl/>
              <w:spacing w:line="360" w:lineRule="exact"/>
              <w:jc w:val="left"/>
              <w:textAlignment w:val="top"/>
              <w:rPr>
                <w:rFonts w:asciiTheme="minorEastAsia" w:hAnsiTheme="minorEastAsia" w:eastAsiaTheme="minorEastAsia"/>
                <w:bCs/>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143" w:type="dxa"/>
            <w:vAlign w:val="center"/>
          </w:tcPr>
          <w:p>
            <w:pPr>
              <w:widowControl/>
              <w:jc w:val="center"/>
              <w:rPr>
                <w:rFonts w:cs="宋体" w:asciiTheme="minorEastAsia" w:hAnsiTheme="minorEastAsia" w:eastAsiaTheme="minorEastAsia"/>
                <w:kern w:val="0"/>
                <w:szCs w:val="21"/>
              </w:rPr>
            </w:pPr>
            <w:r>
              <w:rPr>
                <w:rFonts w:hint="eastAsia" w:ascii="宋体" w:cs="宋体"/>
                <w:szCs w:val="21"/>
              </w:rPr>
              <w:t>技术方案设计</w:t>
            </w:r>
          </w:p>
        </w:tc>
        <w:tc>
          <w:tcPr>
            <w:tcW w:w="1061" w:type="dxa"/>
            <w:vAlign w:val="center"/>
          </w:tcPr>
          <w:p>
            <w:pPr>
              <w:widowControl/>
              <w:wordWrap w:val="0"/>
              <w:jc w:val="center"/>
              <w:textAlignment w:val="top"/>
              <w:rPr>
                <w:rFonts w:cs="仿宋" w:asciiTheme="minorEastAsia" w:hAnsiTheme="minorEastAsia" w:eastAsiaTheme="minorEastAsia"/>
                <w:szCs w:val="21"/>
              </w:rPr>
            </w:pPr>
            <w:r>
              <w:rPr>
                <w:rFonts w:hint="eastAsia" w:ascii="宋体" w:hAnsi="宋体" w:cs="宋体"/>
                <w:szCs w:val="21"/>
              </w:rPr>
              <w:t>10</w:t>
            </w:r>
          </w:p>
        </w:tc>
        <w:tc>
          <w:tcPr>
            <w:tcW w:w="5601" w:type="dxa"/>
            <w:vAlign w:val="center"/>
          </w:tcPr>
          <w:p>
            <w:pPr>
              <w:pStyle w:val="11"/>
              <w:ind w:firstLine="0" w:firstLineChars="0"/>
              <w:rPr>
                <w:rFonts w:ascii="宋体" w:hAnsi="宋体" w:cs="宋体"/>
                <w:b/>
                <w:bCs/>
                <w:szCs w:val="20"/>
              </w:rPr>
            </w:pPr>
            <w:r>
              <w:rPr>
                <w:rFonts w:hint="eastAsia" w:ascii="宋体" w:hAnsi="宋体" w:cs="宋体"/>
                <w:b/>
                <w:bCs/>
                <w:szCs w:val="20"/>
              </w:rPr>
              <w:t>（一）评审因素：</w:t>
            </w:r>
          </w:p>
          <w:p>
            <w:pPr>
              <w:pStyle w:val="11"/>
              <w:rPr>
                <w:rFonts w:ascii="宋体" w:hAnsi="宋体" w:cs="宋体"/>
                <w:szCs w:val="20"/>
              </w:rPr>
            </w:pPr>
            <w:r>
              <w:rPr>
                <w:rFonts w:hint="eastAsia" w:ascii="宋体" w:hAnsi="宋体" w:cs="宋体"/>
                <w:szCs w:val="20"/>
              </w:rPr>
              <w:t>本项目重点考察</w:t>
            </w:r>
            <w:r>
              <w:rPr>
                <w:rFonts w:hint="eastAsia" w:ascii="宋体" w:cs="宋体"/>
                <w:szCs w:val="21"/>
              </w:rPr>
              <w:t>技术方案设计</w:t>
            </w:r>
            <w:r>
              <w:rPr>
                <w:rFonts w:hint="eastAsia" w:ascii="宋体" w:hAnsi="宋体" w:cs="宋体"/>
                <w:szCs w:val="20"/>
              </w:rPr>
              <w:t>的创新情况，如创新思维、方法，确保项目能高标准完成。</w:t>
            </w:r>
          </w:p>
          <w:p>
            <w:pPr>
              <w:pStyle w:val="11"/>
              <w:rPr>
                <w:rFonts w:ascii="宋体" w:hAnsi="宋体" w:cs="宋体"/>
                <w:szCs w:val="20"/>
              </w:rPr>
            </w:pPr>
            <w:r>
              <w:rPr>
                <w:rFonts w:hint="eastAsia" w:ascii="宋体" w:hAnsi="宋体" w:cs="宋体"/>
                <w:szCs w:val="20"/>
              </w:rPr>
              <w:t>1、系统</w:t>
            </w:r>
            <w:r>
              <w:rPr>
                <w:rFonts w:hint="eastAsia" w:ascii="宋体" w:cs="宋体"/>
                <w:szCs w:val="21"/>
              </w:rPr>
              <w:t>功能设计全面、完整、合理、到位</w:t>
            </w:r>
            <w:r>
              <w:rPr>
                <w:rFonts w:hint="eastAsia" w:ascii="宋体" w:hAnsi="宋体" w:cs="宋体"/>
                <w:szCs w:val="20"/>
              </w:rPr>
              <w:t>；</w:t>
            </w:r>
          </w:p>
          <w:p>
            <w:pPr>
              <w:pStyle w:val="11"/>
              <w:rPr>
                <w:rFonts w:ascii="宋体" w:hAnsi="宋体" w:cs="宋体"/>
                <w:szCs w:val="20"/>
              </w:rPr>
            </w:pPr>
            <w:r>
              <w:rPr>
                <w:rFonts w:hint="eastAsia" w:ascii="宋体" w:hAnsi="宋体" w:cs="宋体"/>
                <w:szCs w:val="20"/>
              </w:rPr>
              <w:t>2、有完整的质量管理方法及计划；</w:t>
            </w:r>
          </w:p>
          <w:p>
            <w:pPr>
              <w:pStyle w:val="11"/>
              <w:rPr>
                <w:rFonts w:ascii="宋体" w:hAnsi="宋体" w:cs="宋体"/>
                <w:szCs w:val="20"/>
              </w:rPr>
            </w:pPr>
            <w:r>
              <w:rPr>
                <w:rFonts w:hint="eastAsia" w:ascii="宋体" w:hAnsi="宋体" w:cs="宋体"/>
                <w:szCs w:val="20"/>
              </w:rPr>
              <w:t>3、有完整的项目</w:t>
            </w:r>
            <w:r>
              <w:rPr>
                <w:rFonts w:hint="eastAsia" w:ascii="宋体" w:cs="宋体"/>
                <w:szCs w:val="21"/>
              </w:rPr>
              <w:t>技术保障措施</w:t>
            </w:r>
            <w:r>
              <w:rPr>
                <w:rFonts w:hint="eastAsia" w:ascii="宋体" w:hAnsi="宋体" w:cs="宋体"/>
                <w:szCs w:val="20"/>
              </w:rPr>
              <w:t>、应急预案；</w:t>
            </w:r>
          </w:p>
          <w:p>
            <w:pPr>
              <w:pStyle w:val="11"/>
              <w:rPr>
                <w:rFonts w:ascii="宋体" w:hAnsi="宋体" w:cs="宋体"/>
                <w:szCs w:val="20"/>
              </w:rPr>
            </w:pPr>
            <w:r>
              <w:rPr>
                <w:rFonts w:hint="eastAsia" w:ascii="宋体" w:hAnsi="宋体" w:cs="宋体"/>
                <w:szCs w:val="20"/>
              </w:rPr>
              <w:t>4、结合实际情况，给出</w:t>
            </w:r>
            <w:r>
              <w:rPr>
                <w:rFonts w:hint="eastAsia" w:ascii="宋体" w:cs="宋体"/>
                <w:szCs w:val="21"/>
              </w:rPr>
              <w:t>技术方案设计</w:t>
            </w:r>
            <w:r>
              <w:rPr>
                <w:rFonts w:hint="eastAsia" w:ascii="宋体" w:hAnsi="宋体" w:cs="宋体"/>
                <w:szCs w:val="20"/>
              </w:rPr>
              <w:t>的原则方法。</w:t>
            </w:r>
          </w:p>
          <w:p>
            <w:pPr>
              <w:pStyle w:val="11"/>
              <w:ind w:firstLine="0" w:firstLineChars="0"/>
              <w:rPr>
                <w:rFonts w:ascii="宋体" w:hAnsi="宋体" w:cs="宋体"/>
                <w:b/>
                <w:bCs/>
                <w:szCs w:val="20"/>
              </w:rPr>
            </w:pPr>
            <w:r>
              <w:rPr>
                <w:rFonts w:hint="eastAsia" w:ascii="宋体" w:hAnsi="宋体" w:cs="宋体"/>
                <w:b/>
                <w:bCs/>
                <w:szCs w:val="20"/>
              </w:rPr>
              <w:t>（二）评分依据：</w:t>
            </w:r>
          </w:p>
          <w:p>
            <w:pPr>
              <w:pStyle w:val="11"/>
              <w:rPr>
                <w:rFonts w:ascii="宋体" w:hAnsi="宋体" w:cs="宋体"/>
                <w:szCs w:val="20"/>
              </w:rPr>
            </w:pPr>
            <w:r>
              <w:rPr>
                <w:rFonts w:hint="eastAsia" w:ascii="宋体" w:hAnsi="宋体" w:cs="宋体"/>
                <w:szCs w:val="20"/>
              </w:rPr>
              <w:t>1、满足以上四项得6分，满足任意三项得4分，满足任意两项得2分，其他情况不得分；</w:t>
            </w:r>
          </w:p>
          <w:p>
            <w:pPr>
              <w:pStyle w:val="11"/>
              <w:rPr>
                <w:rFonts w:ascii="宋体" w:hAnsi="宋体" w:cs="宋体"/>
                <w:szCs w:val="20"/>
              </w:rPr>
            </w:pPr>
            <w:r>
              <w:rPr>
                <w:rFonts w:hint="eastAsia" w:ascii="宋体" w:hAnsi="宋体" w:cs="宋体"/>
                <w:szCs w:val="20"/>
              </w:rPr>
              <w:t>2、在此基础上，专家根据各供应商的具体响应内容进一步评审：</w:t>
            </w:r>
          </w:p>
          <w:p>
            <w:pPr>
              <w:pStyle w:val="11"/>
              <w:rPr>
                <w:rFonts w:ascii="宋体" w:hAnsi="宋体" w:cs="宋体"/>
                <w:szCs w:val="20"/>
              </w:rPr>
            </w:pPr>
            <w:r>
              <w:rPr>
                <w:rFonts w:hint="eastAsia" w:ascii="宋体" w:hAnsi="宋体" w:cs="宋体"/>
                <w:szCs w:val="20"/>
              </w:rPr>
              <w:t>(1)</w:t>
            </w:r>
            <w:r>
              <w:rPr>
                <w:rFonts w:hint="eastAsia" w:ascii="宋体" w:cs="宋体"/>
                <w:szCs w:val="21"/>
              </w:rPr>
              <w:t>技术方案</w:t>
            </w:r>
            <w:r>
              <w:rPr>
                <w:rFonts w:hint="eastAsia" w:ascii="宋体" w:hAnsi="宋体" w:cs="宋体"/>
                <w:szCs w:val="20"/>
              </w:rPr>
              <w:t>内容全面；</w:t>
            </w:r>
          </w:p>
          <w:p>
            <w:pPr>
              <w:pStyle w:val="11"/>
              <w:rPr>
                <w:rFonts w:ascii="宋体" w:hAnsi="宋体" w:cs="宋体"/>
                <w:szCs w:val="20"/>
              </w:rPr>
            </w:pPr>
            <w:r>
              <w:rPr>
                <w:rFonts w:hint="eastAsia" w:ascii="宋体" w:hAnsi="宋体" w:cs="宋体"/>
                <w:szCs w:val="20"/>
              </w:rPr>
              <w:t>(2)</w:t>
            </w:r>
            <w:r>
              <w:rPr>
                <w:rFonts w:hint="eastAsia" w:ascii="宋体" w:cs="宋体"/>
                <w:szCs w:val="21"/>
              </w:rPr>
              <w:t>技术方案</w:t>
            </w:r>
            <w:r>
              <w:rPr>
                <w:rFonts w:hint="eastAsia" w:ascii="宋体" w:hAnsi="宋体" w:cs="宋体"/>
                <w:szCs w:val="20"/>
              </w:rPr>
              <w:t>内容具体；</w:t>
            </w:r>
          </w:p>
          <w:p>
            <w:pPr>
              <w:pStyle w:val="11"/>
              <w:rPr>
                <w:rFonts w:ascii="宋体" w:hAnsi="宋体" w:cs="宋体"/>
                <w:szCs w:val="20"/>
              </w:rPr>
            </w:pPr>
            <w:r>
              <w:rPr>
                <w:rFonts w:hint="eastAsia" w:ascii="宋体" w:hAnsi="宋体" w:cs="宋体"/>
                <w:szCs w:val="20"/>
              </w:rPr>
              <w:t>(3)</w:t>
            </w:r>
            <w:r>
              <w:rPr>
                <w:rFonts w:hint="eastAsia" w:ascii="宋体" w:cs="宋体"/>
                <w:szCs w:val="21"/>
              </w:rPr>
              <w:t>技术方案</w:t>
            </w:r>
            <w:r>
              <w:rPr>
                <w:rFonts w:hint="eastAsia" w:ascii="宋体" w:hAnsi="宋体" w:cs="宋体"/>
                <w:szCs w:val="20"/>
              </w:rPr>
              <w:t>内容针对性强；</w:t>
            </w:r>
          </w:p>
          <w:p>
            <w:pPr>
              <w:pStyle w:val="11"/>
              <w:rPr>
                <w:rFonts w:ascii="宋体" w:hAnsi="宋体" w:cs="宋体"/>
                <w:szCs w:val="20"/>
              </w:rPr>
            </w:pPr>
            <w:r>
              <w:rPr>
                <w:rFonts w:hint="eastAsia" w:ascii="宋体" w:hAnsi="宋体" w:cs="宋体"/>
                <w:szCs w:val="20"/>
              </w:rPr>
              <w:t>(4)</w:t>
            </w:r>
            <w:r>
              <w:rPr>
                <w:rFonts w:hint="eastAsia" w:ascii="宋体" w:cs="宋体"/>
                <w:szCs w:val="21"/>
              </w:rPr>
              <w:t>技术方案</w:t>
            </w:r>
            <w:r>
              <w:rPr>
                <w:rFonts w:hint="eastAsia" w:ascii="宋体" w:hAnsi="宋体" w:cs="宋体"/>
                <w:szCs w:val="20"/>
              </w:rPr>
              <w:t>内容科学合理；</w:t>
            </w:r>
          </w:p>
          <w:p>
            <w:pPr>
              <w:pStyle w:val="11"/>
              <w:rPr>
                <w:rFonts w:ascii="宋体" w:hAnsi="宋体" w:cs="宋体"/>
                <w:szCs w:val="20"/>
              </w:rPr>
            </w:pPr>
            <w:r>
              <w:rPr>
                <w:rFonts w:hint="eastAsia" w:ascii="宋体" w:hAnsi="宋体" w:cs="宋体"/>
                <w:szCs w:val="20"/>
              </w:rPr>
              <w:t>(5)</w:t>
            </w:r>
            <w:r>
              <w:rPr>
                <w:rFonts w:hint="eastAsia" w:ascii="宋体" w:cs="宋体"/>
                <w:szCs w:val="21"/>
              </w:rPr>
              <w:t>技术方案</w:t>
            </w:r>
            <w:r>
              <w:rPr>
                <w:rFonts w:hint="eastAsia" w:ascii="宋体" w:hAnsi="宋体" w:cs="宋体"/>
                <w:szCs w:val="20"/>
              </w:rPr>
              <w:t>内容可操作性强。</w:t>
            </w:r>
          </w:p>
          <w:p>
            <w:pPr>
              <w:pStyle w:val="11"/>
            </w:pPr>
            <w:r>
              <w:rPr>
                <w:rFonts w:hint="eastAsia" w:ascii="宋体" w:hAnsi="宋体" w:cs="宋体"/>
                <w:szCs w:val="20"/>
              </w:rPr>
              <w:t>满足以上五项要求得4分，满足以上四项要求得3分，满足以上三项要求得2分，其它情况不得分。</w:t>
            </w:r>
          </w:p>
        </w:tc>
        <w:tc>
          <w:tcPr>
            <w:tcW w:w="1187" w:type="dxa"/>
            <w:vAlign w:val="center"/>
          </w:tcPr>
          <w:p>
            <w:pPr>
              <w:spacing w:line="360" w:lineRule="exact"/>
              <w:jc w:val="center"/>
              <w:rPr>
                <w:rFonts w:cs="仿宋" w:asciiTheme="minorEastAsia" w:hAnsiTheme="minorEastAsia" w:eastAsiaTheme="minorEastAsia"/>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p>
        </w:tc>
        <w:tc>
          <w:tcPr>
            <w:tcW w:w="1143" w:type="dxa"/>
            <w:vAlign w:val="center"/>
          </w:tcPr>
          <w:p>
            <w:pPr>
              <w:spacing w:line="360" w:lineRule="exact"/>
              <w:jc w:val="center"/>
              <w:rPr>
                <w:rFonts w:cs="仿宋" w:asciiTheme="minorEastAsia" w:hAnsiTheme="minorEastAsia" w:eastAsiaTheme="minorEastAsia"/>
                <w:szCs w:val="21"/>
              </w:rPr>
            </w:pPr>
            <w:r>
              <w:rPr>
                <w:rFonts w:hint="eastAsia" w:cs="宋体" w:asciiTheme="minorEastAsia" w:hAnsiTheme="minorEastAsia" w:eastAsiaTheme="minorEastAsia"/>
                <w:kern w:val="0"/>
                <w:szCs w:val="21"/>
              </w:rPr>
              <w:t>技术保障措施</w:t>
            </w:r>
          </w:p>
        </w:tc>
        <w:tc>
          <w:tcPr>
            <w:tcW w:w="1061" w:type="dxa"/>
            <w:vAlign w:val="center"/>
          </w:tcPr>
          <w:p>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6</w:t>
            </w:r>
          </w:p>
        </w:tc>
        <w:tc>
          <w:tcPr>
            <w:tcW w:w="5601" w:type="dxa"/>
            <w:vAlign w:val="center"/>
          </w:tcPr>
          <w:p>
            <w:pPr>
              <w:pStyle w:val="96"/>
              <w:spacing w:line="360" w:lineRule="exact"/>
              <w:ind w:firstLine="0" w:firstLineChars="0"/>
              <w:rPr>
                <w:b/>
                <w:bCs/>
              </w:rPr>
            </w:pPr>
            <w:r>
              <w:rPr>
                <w:rFonts w:hint="eastAsia"/>
                <w:b/>
                <w:bCs/>
              </w:rPr>
              <w:t>（一）评分内容：</w:t>
            </w:r>
          </w:p>
          <w:p>
            <w:pPr>
              <w:spacing w:line="360" w:lineRule="exact"/>
              <w:ind w:firstLine="420" w:firstLineChars="200"/>
              <w:jc w:val="left"/>
            </w:pPr>
            <w:r>
              <w:rPr>
                <w:rFonts w:hint="eastAsia"/>
              </w:rPr>
              <w:t>投标人</w:t>
            </w:r>
            <w:r>
              <w:t>在投标文件中详细说明</w:t>
            </w:r>
            <w:r>
              <w:rPr>
                <w:rFonts w:hint="eastAsia"/>
              </w:rPr>
              <w:t>技术</w:t>
            </w:r>
            <w:r>
              <w:t>保障措施（</w:t>
            </w:r>
            <w:r>
              <w:rPr>
                <w:rFonts w:hint="eastAsia"/>
              </w:rPr>
              <w:t>包括但不限于技术团队和技术方案</w:t>
            </w:r>
            <w:r>
              <w:t>）</w:t>
            </w:r>
            <w:r>
              <w:rPr>
                <w:rFonts w:hint="eastAsia"/>
              </w:rPr>
              <w:t>，根据响应情况进行评审：</w:t>
            </w:r>
          </w:p>
          <w:p>
            <w:pPr>
              <w:spacing w:line="360" w:lineRule="exact"/>
              <w:jc w:val="left"/>
            </w:pPr>
            <w:r>
              <w:rPr>
                <w:rFonts w:hint="eastAsia"/>
              </w:rPr>
              <w:t>（1）技术方案科学、严谨，能有效把控产品质量；</w:t>
            </w:r>
          </w:p>
          <w:p>
            <w:pPr>
              <w:spacing w:line="360" w:lineRule="exact"/>
              <w:jc w:val="left"/>
            </w:pPr>
            <w:r>
              <w:rPr>
                <w:rFonts w:hint="eastAsia"/>
              </w:rPr>
              <w:t>（2）产品生产规范，符合国家及相关行业要求；</w:t>
            </w:r>
          </w:p>
          <w:p>
            <w:pPr>
              <w:spacing w:line="360" w:lineRule="exact"/>
              <w:jc w:val="left"/>
            </w:pPr>
            <w:r>
              <w:rPr>
                <w:rFonts w:hint="eastAsia"/>
              </w:rPr>
              <w:t>（3）生产及供货进度计划详细、可实施性强;</w:t>
            </w:r>
          </w:p>
          <w:p>
            <w:pPr>
              <w:spacing w:line="360" w:lineRule="exact"/>
              <w:jc w:val="left"/>
            </w:pPr>
          </w:p>
          <w:p>
            <w:pPr>
              <w:autoSpaceDE w:val="0"/>
              <w:autoSpaceDN w:val="0"/>
              <w:adjustRightInd w:val="0"/>
              <w:spacing w:line="360" w:lineRule="exact"/>
              <w:jc w:val="left"/>
              <w:rPr>
                <w:b/>
                <w:bCs/>
              </w:rPr>
            </w:pPr>
            <w:r>
              <w:rPr>
                <w:rFonts w:hint="eastAsia"/>
                <w:b/>
                <w:bCs/>
              </w:rPr>
              <w:t>（二）评分标准：</w:t>
            </w:r>
          </w:p>
          <w:p>
            <w:pPr>
              <w:spacing w:line="360" w:lineRule="exact"/>
              <w:ind w:firstLine="420" w:firstLineChars="200"/>
              <w:jc w:val="left"/>
              <w:rPr>
                <w:rFonts w:cs="仿宋" w:asciiTheme="minorEastAsia" w:hAnsiTheme="minorEastAsia" w:eastAsiaTheme="minorEastAsia"/>
                <w:szCs w:val="21"/>
              </w:rPr>
            </w:pPr>
            <w:r>
              <w:rPr>
                <w:rFonts w:hint="eastAsia"/>
              </w:rPr>
              <w:t>满足以上</w:t>
            </w:r>
            <w:r>
              <w:rPr>
                <w:rFonts w:hint="eastAsia"/>
                <w:lang w:val="en-US" w:eastAsia="zh-CN"/>
              </w:rPr>
              <w:t>三</w:t>
            </w:r>
            <w:r>
              <w:rPr>
                <w:rFonts w:hint="eastAsia"/>
              </w:rPr>
              <w:t>项要求得</w:t>
            </w:r>
            <w:r>
              <w:rPr>
                <w:rFonts w:hint="eastAsia"/>
                <w:lang w:val="en-US" w:eastAsia="zh-CN"/>
              </w:rPr>
              <w:t>6</w:t>
            </w:r>
            <w:r>
              <w:rPr>
                <w:rFonts w:hint="eastAsia"/>
              </w:rPr>
              <w:t>分，满足以上</w:t>
            </w:r>
            <w:r>
              <w:rPr>
                <w:rFonts w:hint="eastAsia"/>
                <w:lang w:val="en-US" w:eastAsia="zh-CN"/>
              </w:rPr>
              <w:t>两</w:t>
            </w:r>
            <w:r>
              <w:rPr>
                <w:rFonts w:hint="eastAsia"/>
              </w:rPr>
              <w:t>项要求得</w:t>
            </w:r>
            <w:r>
              <w:rPr>
                <w:rFonts w:hint="eastAsia"/>
                <w:lang w:val="en-US" w:eastAsia="zh-CN"/>
              </w:rPr>
              <w:t>3</w:t>
            </w:r>
            <w:r>
              <w:rPr>
                <w:rFonts w:hint="eastAsia"/>
              </w:rPr>
              <w:t>分，满足以上</w:t>
            </w:r>
            <w:r>
              <w:rPr>
                <w:rFonts w:hint="eastAsia"/>
                <w:lang w:val="en-US" w:eastAsia="zh-CN"/>
              </w:rPr>
              <w:t>一</w:t>
            </w:r>
            <w:r>
              <w:rPr>
                <w:rFonts w:hint="eastAsia"/>
              </w:rPr>
              <w:t>项要求得</w:t>
            </w:r>
            <w:r>
              <w:rPr>
                <w:rFonts w:hint="eastAsia"/>
                <w:lang w:val="en-US" w:eastAsia="zh-CN"/>
              </w:rPr>
              <w:t>1</w:t>
            </w:r>
            <w:r>
              <w:rPr>
                <w:rFonts w:hint="eastAsia"/>
              </w:rPr>
              <w:t>分，其它情况不得分。</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4</w:t>
            </w:r>
          </w:p>
        </w:tc>
        <w:tc>
          <w:tcPr>
            <w:tcW w:w="1143" w:type="dxa"/>
            <w:vAlign w:val="center"/>
          </w:tcPr>
          <w:p>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质保期外售后服务情况</w:t>
            </w:r>
          </w:p>
        </w:tc>
        <w:tc>
          <w:tcPr>
            <w:tcW w:w="1061" w:type="dxa"/>
            <w:vAlign w:val="center"/>
          </w:tcPr>
          <w:p>
            <w:pPr>
              <w:widowControl/>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kern w:val="0"/>
                <w:szCs w:val="21"/>
              </w:rPr>
              <w:t>10</w:t>
            </w:r>
          </w:p>
        </w:tc>
        <w:tc>
          <w:tcPr>
            <w:tcW w:w="5601" w:type="dxa"/>
            <w:vAlign w:val="center"/>
          </w:tcPr>
          <w:p>
            <w:pPr>
              <w:autoSpaceDE w:val="0"/>
              <w:autoSpaceDN w:val="0"/>
              <w:adjustRightInd w:val="0"/>
              <w:spacing w:line="36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（一）评审内容：</w:t>
            </w:r>
          </w:p>
          <w:p>
            <w:pPr>
              <w:autoSpaceDE w:val="0"/>
              <w:autoSpaceDN w:val="0"/>
              <w:adjustRightInd w:val="0"/>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在满足招标文件质保期的前提下：</w:t>
            </w:r>
          </w:p>
          <w:p>
            <w:pPr>
              <w:autoSpaceDE w:val="0"/>
              <w:autoSpaceDN w:val="0"/>
              <w:adjustRightInd w:val="0"/>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（1）软件系统每延长1年质保期的，得4分，最高8分。</w:t>
            </w:r>
          </w:p>
          <w:p>
            <w:pPr>
              <w:autoSpaceDE w:val="0"/>
              <w:autoSpaceDN w:val="0"/>
              <w:adjustRightInd w:val="0"/>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（2）硬件系统主机每延长1年质保期的，得1分，最高2分。</w:t>
            </w:r>
          </w:p>
          <w:p>
            <w:pPr>
              <w:autoSpaceDE w:val="0"/>
              <w:autoSpaceDN w:val="0"/>
              <w:adjustRightInd w:val="0"/>
              <w:spacing w:line="36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（二）评分标准：</w:t>
            </w:r>
          </w:p>
          <w:p>
            <w:pPr>
              <w:autoSpaceDE w:val="0"/>
              <w:autoSpaceDN w:val="0"/>
              <w:adjustRightInd w:val="0"/>
              <w:spacing w:line="360" w:lineRule="exact"/>
              <w:jc w:val="left"/>
            </w:pPr>
            <w:r>
              <w:rPr>
                <w:rFonts w:hint="eastAsia" w:cs="宋体" w:asciiTheme="minorEastAsia" w:hAnsiTheme="minorEastAsia" w:eastAsiaTheme="minorEastAsia"/>
                <w:kern w:val="0"/>
                <w:szCs w:val="21"/>
              </w:rPr>
              <w:t>投标人需提供延长质保期的承诺函并加盖投标人公章（格式自拟）。</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1061"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601"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8"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1</w:t>
            </w:r>
          </w:p>
        </w:tc>
        <w:tc>
          <w:tcPr>
            <w:tcW w:w="1143" w:type="dxa"/>
            <w:vAlign w:val="center"/>
          </w:tcPr>
          <w:p>
            <w:pPr>
              <w:spacing w:line="360" w:lineRule="exact"/>
              <w:jc w:val="center"/>
              <w:rPr>
                <w:rFonts w:cs="仿宋"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同类项目业绩情况</w:t>
            </w:r>
          </w:p>
        </w:tc>
        <w:tc>
          <w:tcPr>
            <w:tcW w:w="1061" w:type="dxa"/>
            <w:vAlign w:val="center"/>
          </w:tcPr>
          <w:p>
            <w:pPr>
              <w:spacing w:line="36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szCs w:val="21"/>
              </w:rPr>
              <w:t>6</w:t>
            </w:r>
          </w:p>
        </w:tc>
        <w:tc>
          <w:tcPr>
            <w:tcW w:w="5601" w:type="dxa"/>
            <w:vAlign w:val="center"/>
          </w:tcPr>
          <w:p>
            <w:pPr>
              <w:pStyle w:val="5"/>
              <w:spacing w:line="360" w:lineRule="exact"/>
              <w:ind w:left="0" w:firstLine="0"/>
              <w:rPr>
                <w:rFonts w:cs="仿宋" w:asciiTheme="minorEastAsia" w:hAnsiTheme="minorEastAsia" w:eastAsiaTheme="minorEastAsia"/>
                <w:b/>
                <w:bCs/>
                <w:sz w:val="21"/>
                <w:szCs w:val="21"/>
                <w:lang w:val="zh-CN"/>
              </w:rPr>
            </w:pPr>
            <w:r>
              <w:rPr>
                <w:rFonts w:hint="eastAsia" w:cs="仿宋" w:asciiTheme="minorEastAsia" w:hAnsiTheme="minorEastAsia" w:eastAsiaTheme="minorEastAsia"/>
                <w:b/>
                <w:bCs/>
                <w:sz w:val="21"/>
                <w:szCs w:val="21"/>
                <w:lang w:val="zh-CN"/>
              </w:rPr>
              <w:t>（一）评分内容：</w:t>
            </w:r>
          </w:p>
          <w:p>
            <w:pPr>
              <w:pStyle w:val="5"/>
              <w:spacing w:line="360" w:lineRule="exact"/>
              <w:ind w:left="0" w:firstLine="420" w:firstLineChars="200"/>
              <w:rPr>
                <w:rFonts w:cs="仿宋" w:asciiTheme="minorEastAsia" w:hAnsiTheme="minorEastAsia" w:eastAsiaTheme="minorEastAsia"/>
                <w:sz w:val="21"/>
                <w:szCs w:val="21"/>
                <w:lang w:val="zh-CN"/>
              </w:rPr>
            </w:pPr>
            <w:r>
              <w:rPr>
                <w:rFonts w:hint="eastAsia" w:cs="仿宋" w:asciiTheme="minorEastAsia" w:hAnsiTheme="minorEastAsia" w:eastAsiaTheme="minorEastAsia"/>
                <w:sz w:val="21"/>
                <w:szCs w:val="21"/>
                <w:lang w:val="zh-CN"/>
              </w:rPr>
              <w:t>2019年8月1日至本项目投标截止日（以合同签订日期为准），投标人具有同类项目业绩的，每提供1个项目得2分，最高得6分。</w:t>
            </w:r>
          </w:p>
          <w:p>
            <w:pPr>
              <w:pStyle w:val="5"/>
              <w:spacing w:line="360" w:lineRule="exact"/>
              <w:ind w:left="0" w:firstLine="0"/>
              <w:rPr>
                <w:rFonts w:cs="仿宋" w:asciiTheme="minorEastAsia" w:hAnsiTheme="minorEastAsia" w:eastAsiaTheme="minorEastAsia"/>
                <w:b/>
                <w:bCs/>
                <w:sz w:val="21"/>
                <w:szCs w:val="21"/>
                <w:lang w:val="zh-CN"/>
              </w:rPr>
            </w:pPr>
            <w:r>
              <w:rPr>
                <w:rFonts w:hint="eastAsia" w:cs="仿宋" w:asciiTheme="minorEastAsia" w:hAnsiTheme="minorEastAsia" w:eastAsiaTheme="minorEastAsia"/>
                <w:b/>
                <w:bCs/>
                <w:sz w:val="21"/>
                <w:szCs w:val="21"/>
                <w:lang w:val="zh-CN"/>
              </w:rPr>
              <w:t>（二）评分依据：</w:t>
            </w:r>
          </w:p>
          <w:p>
            <w:pPr>
              <w:pStyle w:val="5"/>
              <w:spacing w:line="360" w:lineRule="exact"/>
              <w:ind w:left="0" w:firstLine="420" w:firstLineChars="200"/>
              <w:rPr>
                <w:rFonts w:cs="仿宋" w:asciiTheme="minorEastAsia" w:hAnsiTheme="minorEastAsia" w:eastAsiaTheme="minorEastAsia"/>
                <w:sz w:val="21"/>
                <w:szCs w:val="21"/>
                <w:lang w:val="zh-CN"/>
              </w:rPr>
            </w:pPr>
            <w:r>
              <w:rPr>
                <w:rFonts w:hint="eastAsia" w:cs="仿宋" w:asciiTheme="minorEastAsia" w:hAnsiTheme="minorEastAsia" w:eastAsiaTheme="minorEastAsia"/>
                <w:sz w:val="21"/>
                <w:szCs w:val="21"/>
                <w:lang w:val="zh-CN"/>
              </w:rPr>
              <w:t>1.提供合同关键页（需体现签订日期）且各项信息不得有任何遮挡；</w:t>
            </w:r>
          </w:p>
          <w:p>
            <w:pPr>
              <w:pStyle w:val="5"/>
              <w:spacing w:line="360" w:lineRule="exact"/>
              <w:ind w:left="0" w:firstLine="420" w:firstLineChars="200"/>
              <w:rPr>
                <w:rFonts w:cs="仿宋" w:asciiTheme="minorEastAsia" w:hAnsiTheme="minorEastAsia" w:eastAsiaTheme="minorEastAsia"/>
                <w:sz w:val="21"/>
                <w:szCs w:val="21"/>
                <w:lang w:val="zh-CN"/>
              </w:rPr>
            </w:pPr>
            <w:r>
              <w:rPr>
                <w:rFonts w:hint="eastAsia" w:cs="仿宋" w:asciiTheme="minorEastAsia" w:hAnsiTheme="minorEastAsia" w:eastAsiaTheme="minorEastAsia"/>
                <w:sz w:val="21"/>
                <w:szCs w:val="21"/>
                <w:lang w:val="zh-CN"/>
              </w:rPr>
              <w:t>2. 以上证明文件均提供复印件或扫描件并加盖投标人公章，原件备查。未按要求提供有效证明材料或提供不清晰导致评委无法识别的不计得分。</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cs="仿宋" w:asciiTheme="minorEastAsia" w:hAnsiTheme="minorEastAsia" w:eastAsiaTheme="minorEastAsia"/>
                <w:szCs w:val="21"/>
              </w:rPr>
              <w:t>2</w:t>
            </w:r>
          </w:p>
        </w:tc>
        <w:tc>
          <w:tcPr>
            <w:tcW w:w="1143" w:type="dxa"/>
            <w:vAlign w:val="center"/>
          </w:tcPr>
          <w:p>
            <w:pPr>
              <w:spacing w:line="360" w:lineRule="exact"/>
              <w:jc w:val="center"/>
              <w:rPr>
                <w:rFonts w:cs="仿宋" w:asciiTheme="minorEastAsia" w:hAnsiTheme="minorEastAsia" w:eastAsiaTheme="minorEastAsia"/>
                <w:szCs w:val="21"/>
              </w:rPr>
            </w:pPr>
            <w:r>
              <w:rPr>
                <w:rFonts w:hint="eastAsia" w:cs="宋体" w:asciiTheme="minorEastAsia" w:hAnsiTheme="minorEastAsia" w:eastAsiaTheme="minorEastAsia"/>
                <w:szCs w:val="21"/>
                <w:lang w:val="en-US" w:eastAsia="zh-CN"/>
              </w:rPr>
              <w:t>认证</w:t>
            </w:r>
            <w:r>
              <w:rPr>
                <w:rFonts w:hint="eastAsia" w:cs="宋体" w:asciiTheme="minorEastAsia" w:hAnsiTheme="minorEastAsia" w:eastAsiaTheme="minorEastAsia"/>
                <w:szCs w:val="21"/>
              </w:rPr>
              <w:t>证书、所投产品授权书</w:t>
            </w:r>
          </w:p>
        </w:tc>
        <w:tc>
          <w:tcPr>
            <w:tcW w:w="1061" w:type="dxa"/>
            <w:vAlign w:val="center"/>
          </w:tcPr>
          <w:p>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5601" w:type="dxa"/>
            <w:vAlign w:val="center"/>
          </w:tcPr>
          <w:p>
            <w:pPr>
              <w:pStyle w:val="96"/>
              <w:spacing w:line="360" w:lineRule="exact"/>
              <w:ind w:firstLine="0" w:firstLineChars="0"/>
              <w:rPr>
                <w:rFonts w:ascii="宋体" w:hAnsi="宋体"/>
                <w:b/>
                <w:bCs/>
                <w:szCs w:val="21"/>
              </w:rPr>
            </w:pPr>
            <w:r>
              <w:rPr>
                <w:rFonts w:hint="eastAsia" w:ascii="宋体" w:hAnsi="宋体"/>
                <w:b/>
                <w:bCs/>
                <w:szCs w:val="21"/>
              </w:rPr>
              <w:t>（一）评分内容：</w:t>
            </w:r>
          </w:p>
          <w:p>
            <w:pPr>
              <w:pStyle w:val="22"/>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en-US" w:eastAsia="zh-CN"/>
              </w:rPr>
              <w:t>认证</w:t>
            </w:r>
            <w:r>
              <w:rPr>
                <w:rFonts w:hint="eastAsia" w:cs="仿宋" w:asciiTheme="minorEastAsia" w:hAnsiTheme="minorEastAsia" w:eastAsiaTheme="minorEastAsia"/>
                <w:szCs w:val="21"/>
              </w:rPr>
              <w:t>证书  ：</w:t>
            </w:r>
            <w:r>
              <w:rPr>
                <w:rFonts w:hint="eastAsia" w:ascii="宋体" w:hAnsi="宋体"/>
                <w:kern w:val="0"/>
                <w:szCs w:val="21"/>
              </w:rPr>
              <w:t>投标人具有</w:t>
            </w:r>
            <w:r>
              <w:rPr>
                <w:rFonts w:hint="eastAsia" w:ascii="宋体" w:hAnsi="宋体"/>
                <w:bCs/>
                <w:szCs w:val="21"/>
              </w:rPr>
              <w:t>ISO20000</w:t>
            </w:r>
            <w:r>
              <w:rPr>
                <w:rFonts w:hint="eastAsia" w:ascii="宋体" w:hAnsi="宋体"/>
                <w:kern w:val="0"/>
                <w:szCs w:val="21"/>
              </w:rPr>
              <w:t>信息技术服务管理体系认证证书、</w:t>
            </w:r>
            <w:r>
              <w:rPr>
                <w:rFonts w:hint="eastAsia" w:ascii="宋体" w:hAnsi="宋体"/>
                <w:bCs/>
                <w:szCs w:val="21"/>
              </w:rPr>
              <w:t>ISO27001</w:t>
            </w:r>
            <w:r>
              <w:rPr>
                <w:rFonts w:hint="eastAsia" w:ascii="宋体" w:hAnsi="宋体"/>
                <w:kern w:val="0"/>
                <w:szCs w:val="21"/>
              </w:rPr>
              <w:t>信息安全管理体系认证证书、</w:t>
            </w:r>
            <w:r>
              <w:rPr>
                <w:rFonts w:hint="eastAsia" w:ascii="宋体" w:hAnsi="宋体"/>
                <w:bCs/>
                <w:szCs w:val="21"/>
              </w:rPr>
              <w:t>ISO9001</w:t>
            </w:r>
            <w:r>
              <w:rPr>
                <w:rFonts w:hint="eastAsia" w:ascii="宋体" w:hAnsi="宋体"/>
                <w:kern w:val="0"/>
                <w:szCs w:val="21"/>
              </w:rPr>
              <w:t>质量管理体系认证证书，每提供1个有效认证证书得1分，最高得</w:t>
            </w:r>
            <w:r>
              <w:rPr>
                <w:rFonts w:hint="eastAsia" w:ascii="宋体" w:hAnsi="宋体"/>
                <w:kern w:val="0"/>
                <w:szCs w:val="21"/>
                <w:lang w:val="en-US" w:eastAsia="zh-CN"/>
              </w:rPr>
              <w:t>3</w:t>
            </w:r>
            <w:r>
              <w:rPr>
                <w:rFonts w:hint="eastAsia" w:ascii="宋体" w:hAnsi="宋体"/>
                <w:kern w:val="0"/>
                <w:szCs w:val="21"/>
              </w:rPr>
              <w:t>分。</w:t>
            </w:r>
          </w:p>
          <w:p>
            <w:pPr>
              <w:widowControl/>
              <w:spacing w:line="360" w:lineRule="exac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（2）产品授权书：供应商若为所投产品制造商得2分；若为合法代理商或合法代理商的授权商，提供完整的逐级授权证明文件得1分。 </w:t>
            </w:r>
          </w:p>
          <w:p>
            <w:pPr>
              <w:widowControl/>
              <w:spacing w:line="360" w:lineRule="exact"/>
              <w:rPr>
                <w:rFonts w:cs="仿宋" w:asciiTheme="minorEastAsia" w:hAnsiTheme="minorEastAsia" w:eastAsiaTheme="minorEastAsia"/>
                <w:szCs w:val="21"/>
              </w:rPr>
            </w:pPr>
            <w:r>
              <w:rPr>
                <w:rFonts w:hint="eastAsia" w:cs="仿宋" w:asciiTheme="minorEastAsia" w:hAnsiTheme="minorEastAsia" w:eastAsiaTheme="minorEastAsia"/>
                <w:szCs w:val="21"/>
              </w:rPr>
              <w:t>（3）有老年综合评估系统相关软著，得1分</w:t>
            </w:r>
          </w:p>
          <w:p>
            <w:pPr>
              <w:widowControl/>
              <w:spacing w:line="360" w:lineRule="exact"/>
              <w:rPr>
                <w:rFonts w:cs="仿宋" w:asciiTheme="minorEastAsia" w:hAnsiTheme="minorEastAsia" w:eastAsiaTheme="minorEastAsia"/>
                <w:szCs w:val="21"/>
              </w:rPr>
            </w:pPr>
            <w:r>
              <w:rPr>
                <w:rFonts w:hint="eastAsia" w:cs="仿宋" w:asciiTheme="minorEastAsia" w:hAnsiTheme="minorEastAsia" w:eastAsiaTheme="minorEastAsia"/>
                <w:szCs w:val="21"/>
              </w:rPr>
              <w:t>（4）有省级或以上科技进步类奖项，得3分</w:t>
            </w:r>
          </w:p>
          <w:p>
            <w:pPr>
              <w:autoSpaceDE w:val="0"/>
              <w:autoSpaceDN w:val="0"/>
              <w:adjustRightInd w:val="0"/>
              <w:spacing w:line="360" w:lineRule="exact"/>
              <w:jc w:val="left"/>
              <w:rPr>
                <w:rFonts w:ascii="宋体" w:hAnsi="宋体"/>
                <w:b/>
                <w:bCs/>
                <w:kern w:val="0"/>
                <w:szCs w:val="21"/>
              </w:rPr>
            </w:pPr>
            <w:r>
              <w:rPr>
                <w:rFonts w:hint="eastAsia" w:ascii="宋体" w:hAnsi="宋体"/>
                <w:b/>
                <w:bCs/>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pStyle w:val="22"/>
              <w:rPr>
                <w:rFonts w:cs="仿宋" w:asciiTheme="minorEastAsia" w:hAnsiTheme="minorEastAsia" w:eastAsiaTheme="minorEastAsia"/>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cs="仿宋" w:asciiTheme="minorEastAsia" w:hAnsiTheme="minorEastAsia" w:eastAsiaTheme="minorEastAsia"/>
                <w:szCs w:val="21"/>
              </w:rPr>
              <w:t>3</w:t>
            </w:r>
          </w:p>
        </w:tc>
        <w:tc>
          <w:tcPr>
            <w:tcW w:w="1143" w:type="dxa"/>
            <w:vAlign w:val="center"/>
          </w:tcPr>
          <w:p>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1061" w:type="dxa"/>
            <w:vAlign w:val="center"/>
          </w:tcPr>
          <w:p>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601" w:type="dxa"/>
            <w:vAlign w:val="center"/>
          </w:tcPr>
          <w:p>
            <w:pPr>
              <w:pStyle w:val="96"/>
              <w:spacing w:line="360" w:lineRule="exact"/>
              <w:ind w:firstLine="0" w:firstLineChars="0"/>
              <w:rPr>
                <w:rFonts w:ascii="宋体" w:hAnsi="宋体"/>
                <w:b/>
                <w:bCs/>
                <w:szCs w:val="21"/>
              </w:rPr>
            </w:pPr>
            <w:r>
              <w:rPr>
                <w:rFonts w:hint="eastAsia" w:ascii="宋体" w:hAnsi="宋体"/>
                <w:b/>
                <w:bCs/>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b/>
                <w:bCs/>
                <w:kern w:val="0"/>
                <w:szCs w:val="21"/>
              </w:rPr>
            </w:pPr>
            <w:r>
              <w:rPr>
                <w:rFonts w:hint="eastAsia" w:ascii="宋体" w:hAnsi="宋体"/>
                <w:b/>
                <w:bCs/>
                <w:kern w:val="0"/>
                <w:szCs w:val="21"/>
              </w:rPr>
              <w:t>（二）评分依据：</w:t>
            </w:r>
          </w:p>
          <w:p>
            <w:pPr>
              <w:pStyle w:val="22"/>
              <w:rPr>
                <w:rFonts w:cs="仿宋" w:asciiTheme="minorEastAsia" w:hAnsiTheme="minorEastAsia" w:eastAsiaTheme="minorEastAsia"/>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专家打分</w:t>
            </w:r>
          </w:p>
        </w:tc>
      </w:tr>
    </w:tbl>
    <w:p>
      <w:pPr>
        <w:pStyle w:val="8"/>
        <w:spacing w:before="0" w:after="0"/>
        <w:jc w:val="left"/>
        <w:rPr>
          <w:rFonts w:asciiTheme="minorEastAsia" w:hAnsiTheme="minorEastAsia"/>
          <w:bCs w:val="0"/>
          <w:sz w:val="21"/>
          <w:szCs w:val="21"/>
        </w:rPr>
      </w:pPr>
      <w:bookmarkStart w:id="10" w:name="_Toc110410291"/>
      <w:bookmarkStart w:id="11" w:name="_Toc44691394"/>
      <w:bookmarkStart w:id="12" w:name="_Toc44690703"/>
      <w:bookmarkStart w:id="13" w:name="_Toc44690430"/>
      <w:bookmarkStart w:id="14" w:name="_Toc44691162"/>
      <w:r>
        <w:rPr>
          <w:rFonts w:hint="eastAsia" w:asciiTheme="minorEastAsia" w:hAnsiTheme="minorEastAsia"/>
          <w:bCs w:val="0"/>
          <w:sz w:val="21"/>
          <w:szCs w:val="21"/>
        </w:rPr>
        <w:t>备注：</w:t>
      </w:r>
      <w:bookmarkEnd w:id="10"/>
      <w:bookmarkEnd w:id="11"/>
      <w:bookmarkEnd w:id="12"/>
      <w:bookmarkEnd w:id="13"/>
      <w:bookmarkEnd w:id="14"/>
    </w:p>
    <w:p>
      <w:pPr>
        <w:pStyle w:val="7"/>
        <w:spacing w:before="0" w:after="0"/>
      </w:pPr>
      <w:bookmarkStart w:id="15" w:name="_Toc110410292"/>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7"/>
        <w:spacing w:before="0" w:after="0"/>
        <w:rPr>
          <w:rFonts w:asciiTheme="minorEastAsia" w:hAnsiTheme="minorEastAsia" w:eastAsiaTheme="minorEastAsia"/>
        </w:rPr>
      </w:pPr>
      <w:bookmarkStart w:id="16" w:name="_Toc110410293"/>
      <w:r>
        <w:rPr>
          <w:rFonts w:hint="eastAsia" w:asciiTheme="minorEastAsia" w:hAnsiTheme="minorEastAsia" w:eastAsiaTheme="minorEastAsia"/>
        </w:rPr>
        <w:t>2、政府采购扶持政策</w:t>
      </w:r>
      <w:bookmarkEnd w:id="16"/>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软件和信息技术服务业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政府采购扶持政策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6"/>
        <w:spacing w:before="156" w:beforeLines="50"/>
      </w:pPr>
      <w:bookmarkStart w:id="17" w:name="_Toc110410294"/>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2"/>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项号</w:t>
            </w:r>
          </w:p>
        </w:tc>
        <w:tc>
          <w:tcPr>
            <w:tcW w:w="1038" w:type="dxa"/>
            <w:vAlign w:val="center"/>
          </w:tcPr>
          <w:p>
            <w:pPr>
              <w:pStyle w:val="29"/>
              <w:spacing w:line="360" w:lineRule="auto"/>
              <w:jc w:val="center"/>
              <w:rPr>
                <w:rFonts w:hAnsi="宋体"/>
              </w:rPr>
            </w:pPr>
            <w:r>
              <w:rPr>
                <w:rFonts w:hint="eastAsia" w:hAnsi="宋体"/>
              </w:rPr>
              <w:t>条款号</w:t>
            </w:r>
          </w:p>
        </w:tc>
        <w:tc>
          <w:tcPr>
            <w:tcW w:w="1843" w:type="dxa"/>
            <w:vAlign w:val="center"/>
          </w:tcPr>
          <w:p>
            <w:pPr>
              <w:pStyle w:val="29"/>
              <w:spacing w:line="360" w:lineRule="auto"/>
              <w:jc w:val="center"/>
              <w:rPr>
                <w:rFonts w:hAnsi="宋体"/>
              </w:rPr>
            </w:pPr>
            <w:r>
              <w:rPr>
                <w:rFonts w:hint="eastAsia" w:hAnsi="宋体"/>
              </w:rPr>
              <w:t>内容</w:t>
            </w:r>
          </w:p>
        </w:tc>
        <w:tc>
          <w:tcPr>
            <w:tcW w:w="6520" w:type="dxa"/>
          </w:tcPr>
          <w:p>
            <w:pPr>
              <w:pStyle w:val="29"/>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Ansi="宋体"/>
              </w:rPr>
              <w:t>1</w:t>
            </w:r>
          </w:p>
        </w:tc>
        <w:tc>
          <w:tcPr>
            <w:tcW w:w="1038" w:type="dxa"/>
            <w:vAlign w:val="center"/>
          </w:tcPr>
          <w:p>
            <w:pPr>
              <w:pStyle w:val="29"/>
              <w:spacing w:line="360" w:lineRule="auto"/>
              <w:jc w:val="center"/>
              <w:rPr>
                <w:rFonts w:hAnsi="宋体"/>
              </w:rPr>
            </w:pPr>
            <w:r>
              <w:rPr>
                <w:rFonts w:hAnsi="宋体"/>
              </w:rPr>
              <w:t>1.1</w:t>
            </w:r>
          </w:p>
        </w:tc>
        <w:tc>
          <w:tcPr>
            <w:tcW w:w="1843" w:type="dxa"/>
            <w:vAlign w:val="center"/>
          </w:tcPr>
          <w:p>
            <w:pPr>
              <w:pStyle w:val="29"/>
              <w:spacing w:line="360" w:lineRule="exact"/>
              <w:jc w:val="center"/>
              <w:rPr>
                <w:rFonts w:hAnsi="宋体"/>
              </w:rPr>
            </w:pPr>
            <w:r>
              <w:rPr>
                <w:rFonts w:hint="eastAsia" w:hAnsi="宋体"/>
              </w:rPr>
              <w:t>项目名称</w:t>
            </w:r>
          </w:p>
        </w:tc>
        <w:tc>
          <w:tcPr>
            <w:tcW w:w="6520" w:type="dxa"/>
            <w:vAlign w:val="center"/>
          </w:tcPr>
          <w:p>
            <w:pPr>
              <w:pStyle w:val="29"/>
              <w:spacing w:line="360" w:lineRule="exact"/>
            </w:pPr>
            <w:r>
              <w:rPr>
                <w:rFonts w:hint="eastAsia" w:asciiTheme="minorEastAsia" w:hAnsiTheme="minorEastAsia" w:eastAsiaTheme="minorEastAsia"/>
              </w:rPr>
              <w:t>老年综合评估信息化系统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2</w:t>
            </w:r>
          </w:p>
        </w:tc>
        <w:tc>
          <w:tcPr>
            <w:tcW w:w="1038" w:type="dxa"/>
            <w:vAlign w:val="center"/>
          </w:tcPr>
          <w:p>
            <w:pPr>
              <w:pStyle w:val="29"/>
              <w:spacing w:line="360" w:lineRule="auto"/>
              <w:jc w:val="center"/>
              <w:rPr>
                <w:rFonts w:hAnsi="宋体"/>
              </w:rPr>
            </w:pPr>
            <w:r>
              <w:rPr>
                <w:rFonts w:hAnsi="宋体"/>
              </w:rPr>
              <w:t>2.1</w:t>
            </w:r>
          </w:p>
        </w:tc>
        <w:tc>
          <w:tcPr>
            <w:tcW w:w="1843" w:type="dxa"/>
            <w:vAlign w:val="center"/>
          </w:tcPr>
          <w:p>
            <w:pPr>
              <w:pStyle w:val="29"/>
              <w:spacing w:line="360" w:lineRule="exact"/>
              <w:jc w:val="center"/>
              <w:rPr>
                <w:rFonts w:hAnsi="宋体"/>
              </w:rPr>
            </w:pPr>
            <w:r>
              <w:rPr>
                <w:rFonts w:hint="eastAsia" w:hAnsi="宋体"/>
              </w:rPr>
              <w:t>采购人</w:t>
            </w:r>
          </w:p>
        </w:tc>
        <w:tc>
          <w:tcPr>
            <w:tcW w:w="6520" w:type="dxa"/>
            <w:vAlign w:val="center"/>
          </w:tcPr>
          <w:p>
            <w:pPr>
              <w:pStyle w:val="29"/>
              <w:spacing w:line="360" w:lineRule="exact"/>
              <w:rPr>
                <w:rFonts w:hAnsi="宋体"/>
                <w:szCs w:val="24"/>
              </w:rPr>
            </w:pPr>
            <w:r>
              <w:rPr>
                <w:rFonts w:hint="eastAsia" w:hAnsi="宋体"/>
                <w:szCs w:val="24"/>
              </w:rPr>
              <w:t>中山大学附属第八医院（深圳福田）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3</w:t>
            </w:r>
          </w:p>
        </w:tc>
        <w:tc>
          <w:tcPr>
            <w:tcW w:w="1038" w:type="dxa"/>
            <w:vAlign w:val="center"/>
          </w:tcPr>
          <w:p>
            <w:pPr>
              <w:pStyle w:val="29"/>
              <w:spacing w:line="360" w:lineRule="auto"/>
              <w:jc w:val="center"/>
              <w:rPr>
                <w:rFonts w:hAnsi="宋体"/>
              </w:rPr>
            </w:pPr>
            <w:r>
              <w:rPr>
                <w:rFonts w:hAnsi="宋体"/>
              </w:rPr>
              <w:t>2.2</w:t>
            </w:r>
          </w:p>
        </w:tc>
        <w:tc>
          <w:tcPr>
            <w:tcW w:w="1843" w:type="dxa"/>
            <w:vAlign w:val="center"/>
          </w:tcPr>
          <w:p>
            <w:pPr>
              <w:pStyle w:val="29"/>
              <w:spacing w:line="360" w:lineRule="exact"/>
              <w:jc w:val="center"/>
              <w:rPr>
                <w:rFonts w:hAnsi="宋体"/>
              </w:rPr>
            </w:pPr>
            <w:r>
              <w:rPr>
                <w:rFonts w:hint="eastAsia" w:hAnsi="宋体"/>
              </w:rPr>
              <w:t>采购代理机构</w:t>
            </w:r>
          </w:p>
        </w:tc>
        <w:tc>
          <w:tcPr>
            <w:tcW w:w="6520" w:type="dxa"/>
            <w:vAlign w:val="center"/>
          </w:tcPr>
          <w:p>
            <w:pPr>
              <w:pStyle w:val="29"/>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21" w:hRule="atLeast"/>
          <w:jc w:val="center"/>
        </w:trPr>
        <w:tc>
          <w:tcPr>
            <w:tcW w:w="828" w:type="dxa"/>
            <w:vAlign w:val="center"/>
          </w:tcPr>
          <w:p>
            <w:pPr>
              <w:pStyle w:val="29"/>
              <w:spacing w:line="360" w:lineRule="auto"/>
              <w:jc w:val="center"/>
              <w:rPr>
                <w:rFonts w:hAnsi="宋体"/>
              </w:rPr>
            </w:pPr>
            <w:r>
              <w:rPr>
                <w:rFonts w:hint="eastAsia" w:hAnsi="宋体"/>
              </w:rPr>
              <w:t>4</w:t>
            </w:r>
          </w:p>
        </w:tc>
        <w:tc>
          <w:tcPr>
            <w:tcW w:w="1038" w:type="dxa"/>
            <w:vAlign w:val="center"/>
          </w:tcPr>
          <w:p>
            <w:pPr>
              <w:pStyle w:val="29"/>
              <w:spacing w:line="360" w:lineRule="auto"/>
              <w:jc w:val="center"/>
              <w:rPr>
                <w:rFonts w:hAnsi="宋体"/>
              </w:rPr>
            </w:pPr>
            <w:r>
              <w:rPr>
                <w:rFonts w:hint="eastAsia" w:hAnsi="宋体"/>
              </w:rPr>
              <w:t>3.1</w:t>
            </w:r>
          </w:p>
        </w:tc>
        <w:tc>
          <w:tcPr>
            <w:tcW w:w="1843" w:type="dxa"/>
            <w:vAlign w:val="center"/>
          </w:tcPr>
          <w:p>
            <w:pPr>
              <w:pStyle w:val="29"/>
              <w:spacing w:line="360" w:lineRule="exact"/>
              <w:jc w:val="center"/>
              <w:rPr>
                <w:rFonts w:hAnsi="宋体"/>
              </w:rPr>
            </w:pPr>
            <w:r>
              <w:rPr>
                <w:rFonts w:hint="eastAsia" w:hAnsi="宋体"/>
              </w:rPr>
              <w:t>资金来源</w:t>
            </w:r>
          </w:p>
        </w:tc>
        <w:tc>
          <w:tcPr>
            <w:tcW w:w="6520" w:type="dxa"/>
            <w:vAlign w:val="center"/>
          </w:tcPr>
          <w:p>
            <w:pPr>
              <w:pStyle w:val="29"/>
              <w:spacing w:line="360" w:lineRule="exact"/>
              <w:rPr>
                <w:rFonts w:hAnsi="宋体"/>
              </w:rPr>
            </w:pPr>
            <w:r>
              <w:rPr>
                <w:rFonts w:hint="eastAsia" w:hAnsi="宋体" w:cs="MS Mincho"/>
                <w:sz w:val="24"/>
                <w:szCs w:val="24"/>
                <w:lang w:eastAsia="zh-CN"/>
              </w:rPr>
              <w:t>□</w:t>
            </w:r>
            <w:r>
              <w:rPr>
                <w:rFonts w:hint="eastAsia" w:hAnsi="宋体"/>
              </w:rPr>
              <w:t>财政资金/</w:t>
            </w:r>
            <w:r>
              <w:rPr>
                <w:rFonts w:hint="eastAsia" w:hAnsi="宋体"/>
              </w:rPr>
              <w:sym w:font="Wingdings 2" w:char="0052"/>
            </w:r>
            <w:r>
              <w:rPr>
                <w:rFonts w:hint="eastAsia" w:hAnsi="宋体"/>
              </w:rPr>
              <w:t>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9"/>
              <w:spacing w:line="360" w:lineRule="auto"/>
              <w:jc w:val="center"/>
              <w:rPr>
                <w:rFonts w:hAnsi="宋体"/>
              </w:rPr>
            </w:pPr>
            <w:r>
              <w:rPr>
                <w:rFonts w:hint="eastAsia" w:hAnsi="宋体"/>
              </w:rPr>
              <w:t>5</w:t>
            </w:r>
          </w:p>
        </w:tc>
        <w:tc>
          <w:tcPr>
            <w:tcW w:w="1038" w:type="dxa"/>
            <w:vAlign w:val="center"/>
          </w:tcPr>
          <w:p>
            <w:pPr>
              <w:pStyle w:val="29"/>
              <w:spacing w:line="360" w:lineRule="auto"/>
              <w:jc w:val="center"/>
              <w:rPr>
                <w:rFonts w:hAnsi="宋体"/>
              </w:rPr>
            </w:pPr>
            <w:r>
              <w:rPr>
                <w:rFonts w:hint="eastAsia" w:hAnsi="宋体"/>
              </w:rPr>
              <w:t>4.7</w:t>
            </w:r>
          </w:p>
        </w:tc>
        <w:tc>
          <w:tcPr>
            <w:tcW w:w="1843" w:type="dxa"/>
            <w:vAlign w:val="center"/>
          </w:tcPr>
          <w:p>
            <w:pPr>
              <w:pStyle w:val="29"/>
              <w:spacing w:line="360" w:lineRule="auto"/>
              <w:jc w:val="center"/>
              <w:rPr>
                <w:rFonts w:hAnsi="宋体"/>
              </w:rPr>
            </w:pPr>
            <w:r>
              <w:rPr>
                <w:rFonts w:hint="eastAsia" w:hAnsi="宋体"/>
              </w:rPr>
              <w:t>投标人资格要求</w:t>
            </w:r>
          </w:p>
        </w:tc>
        <w:tc>
          <w:tcPr>
            <w:tcW w:w="6520" w:type="dxa"/>
            <w:vAlign w:val="center"/>
          </w:tcPr>
          <w:p>
            <w:pPr>
              <w:pStyle w:val="29"/>
              <w:spacing w:line="360" w:lineRule="auto"/>
              <w:rPr>
                <w:rFonts w:hAnsi="宋体"/>
                <w:szCs w:val="21"/>
              </w:rPr>
            </w:pPr>
            <w:r>
              <w:rPr>
                <w:rFonts w:hint="eastAsia" w:hAnsi="宋体"/>
                <w:szCs w:val="21"/>
              </w:rPr>
              <w:t>详见《第一章 投标邀请》“申请人的资格要求”</w:t>
            </w:r>
          </w:p>
          <w:p>
            <w:pPr>
              <w:pStyle w:val="29"/>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6</w:t>
            </w:r>
          </w:p>
        </w:tc>
        <w:tc>
          <w:tcPr>
            <w:tcW w:w="1038" w:type="dxa"/>
            <w:vAlign w:val="center"/>
          </w:tcPr>
          <w:p>
            <w:pPr>
              <w:pStyle w:val="29"/>
              <w:spacing w:line="360" w:lineRule="auto"/>
              <w:jc w:val="center"/>
              <w:rPr>
                <w:rFonts w:hAnsi="宋体"/>
              </w:rPr>
            </w:pPr>
            <w:r>
              <w:rPr>
                <w:rFonts w:hint="eastAsia" w:hAnsi="宋体"/>
              </w:rPr>
              <w:t>4.8</w:t>
            </w:r>
          </w:p>
        </w:tc>
        <w:tc>
          <w:tcPr>
            <w:tcW w:w="1843" w:type="dxa"/>
            <w:vAlign w:val="center"/>
          </w:tcPr>
          <w:p>
            <w:pPr>
              <w:pStyle w:val="29"/>
              <w:spacing w:line="360" w:lineRule="auto"/>
              <w:jc w:val="center"/>
              <w:rPr>
                <w:rFonts w:hAnsi="宋体"/>
              </w:rPr>
            </w:pPr>
            <w:r>
              <w:rPr>
                <w:rFonts w:hint="eastAsia" w:hAnsi="宋体"/>
              </w:rPr>
              <w:t>联合体投标</w:t>
            </w:r>
          </w:p>
        </w:tc>
        <w:tc>
          <w:tcPr>
            <w:tcW w:w="6520" w:type="dxa"/>
          </w:tcPr>
          <w:p>
            <w:pPr>
              <w:pStyle w:val="29"/>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7</w:t>
            </w:r>
          </w:p>
        </w:tc>
        <w:tc>
          <w:tcPr>
            <w:tcW w:w="1038" w:type="dxa"/>
            <w:vAlign w:val="center"/>
          </w:tcPr>
          <w:p>
            <w:pPr>
              <w:pStyle w:val="29"/>
              <w:spacing w:line="360" w:lineRule="auto"/>
              <w:jc w:val="center"/>
              <w:rPr>
                <w:rFonts w:hAnsi="宋体"/>
              </w:rPr>
            </w:pPr>
            <w:r>
              <w:rPr>
                <w:rFonts w:hint="eastAsia" w:hAnsi="宋体"/>
              </w:rPr>
              <w:t>6.1</w:t>
            </w:r>
          </w:p>
        </w:tc>
        <w:tc>
          <w:tcPr>
            <w:tcW w:w="1843" w:type="dxa"/>
            <w:vAlign w:val="center"/>
          </w:tcPr>
          <w:p>
            <w:pPr>
              <w:pStyle w:val="29"/>
              <w:spacing w:line="360" w:lineRule="auto"/>
              <w:jc w:val="center"/>
              <w:rPr>
                <w:rFonts w:hAnsi="宋体"/>
              </w:rPr>
            </w:pPr>
            <w:r>
              <w:rPr>
                <w:rFonts w:hint="eastAsia" w:hAnsi="宋体"/>
              </w:rPr>
              <w:t>踏勘现场</w:t>
            </w:r>
          </w:p>
        </w:tc>
        <w:tc>
          <w:tcPr>
            <w:tcW w:w="6520" w:type="dxa"/>
          </w:tcPr>
          <w:p>
            <w:pPr>
              <w:pStyle w:val="29"/>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9"/>
              <w:spacing w:line="360" w:lineRule="auto"/>
              <w:jc w:val="center"/>
              <w:rPr>
                <w:rFonts w:hAnsi="宋体"/>
              </w:rPr>
            </w:pPr>
            <w:r>
              <w:rPr>
                <w:rFonts w:hint="eastAsia" w:hAnsi="宋体"/>
              </w:rPr>
              <w:t>8</w:t>
            </w:r>
          </w:p>
        </w:tc>
        <w:tc>
          <w:tcPr>
            <w:tcW w:w="1038" w:type="dxa"/>
            <w:vAlign w:val="center"/>
          </w:tcPr>
          <w:p>
            <w:pPr>
              <w:pStyle w:val="29"/>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9"/>
              <w:spacing w:line="360" w:lineRule="auto"/>
              <w:jc w:val="center"/>
              <w:rPr>
                <w:rFonts w:hAnsi="宋体"/>
              </w:rPr>
            </w:pPr>
            <w:r>
              <w:rPr>
                <w:rFonts w:hint="eastAsia" w:hAnsi="宋体"/>
              </w:rPr>
              <w:t>投标有效期</w:t>
            </w:r>
          </w:p>
        </w:tc>
        <w:tc>
          <w:tcPr>
            <w:tcW w:w="6520" w:type="dxa"/>
          </w:tcPr>
          <w:p>
            <w:pPr>
              <w:pStyle w:val="29"/>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9"/>
              <w:spacing w:line="360" w:lineRule="auto"/>
              <w:jc w:val="center"/>
              <w:rPr>
                <w:rFonts w:hAnsi="宋体"/>
              </w:rPr>
            </w:pPr>
            <w:r>
              <w:rPr>
                <w:rFonts w:hint="eastAsia" w:hAnsi="宋体"/>
              </w:rPr>
              <w:t>9</w:t>
            </w:r>
          </w:p>
        </w:tc>
        <w:tc>
          <w:tcPr>
            <w:tcW w:w="1038" w:type="dxa"/>
            <w:vAlign w:val="center"/>
          </w:tcPr>
          <w:p>
            <w:pPr>
              <w:pStyle w:val="29"/>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9"/>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9"/>
              <w:spacing w:line="360" w:lineRule="auto"/>
              <w:jc w:val="center"/>
              <w:rPr>
                <w:rFonts w:hAnsi="宋体"/>
              </w:rPr>
            </w:pPr>
            <w:r>
              <w:rPr>
                <w:rFonts w:hint="eastAsia" w:hAnsi="宋体"/>
              </w:rPr>
              <w:t>10</w:t>
            </w:r>
          </w:p>
        </w:tc>
        <w:tc>
          <w:tcPr>
            <w:tcW w:w="1038" w:type="dxa"/>
            <w:vAlign w:val="center"/>
          </w:tcPr>
          <w:p>
            <w:pPr>
              <w:pStyle w:val="29"/>
              <w:spacing w:line="360" w:lineRule="auto"/>
              <w:jc w:val="center"/>
              <w:rPr>
                <w:rFonts w:hAnsi="宋体"/>
              </w:rPr>
            </w:pPr>
            <w:r>
              <w:rPr>
                <w:rFonts w:hint="eastAsia" w:hAnsi="宋体"/>
              </w:rPr>
              <w:t>16.1</w:t>
            </w:r>
          </w:p>
        </w:tc>
        <w:tc>
          <w:tcPr>
            <w:tcW w:w="1843" w:type="dxa"/>
            <w:vAlign w:val="center"/>
          </w:tcPr>
          <w:p>
            <w:pPr>
              <w:pStyle w:val="29"/>
              <w:spacing w:line="360" w:lineRule="auto"/>
              <w:jc w:val="center"/>
              <w:rPr>
                <w:rFonts w:hAnsi="宋体"/>
              </w:rPr>
            </w:pPr>
            <w:r>
              <w:rPr>
                <w:rFonts w:hint="eastAsia" w:hAnsi="宋体"/>
              </w:rPr>
              <w:t>投标预备会</w:t>
            </w:r>
          </w:p>
          <w:p>
            <w:pPr>
              <w:pStyle w:val="29"/>
              <w:spacing w:line="360" w:lineRule="auto"/>
              <w:jc w:val="center"/>
              <w:rPr>
                <w:rFonts w:hAnsi="宋体"/>
              </w:rPr>
            </w:pPr>
            <w:r>
              <w:rPr>
                <w:rFonts w:hint="eastAsia" w:hAnsi="宋体"/>
              </w:rPr>
              <w:t>（答疑会）</w:t>
            </w:r>
          </w:p>
        </w:tc>
        <w:tc>
          <w:tcPr>
            <w:tcW w:w="6520" w:type="dxa"/>
            <w:vAlign w:val="center"/>
          </w:tcPr>
          <w:p>
            <w:pPr>
              <w:pStyle w:val="29"/>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11</w:t>
            </w:r>
          </w:p>
        </w:tc>
        <w:tc>
          <w:tcPr>
            <w:tcW w:w="1038" w:type="dxa"/>
            <w:vAlign w:val="center"/>
          </w:tcPr>
          <w:p>
            <w:pPr>
              <w:pStyle w:val="29"/>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9"/>
              <w:spacing w:line="360" w:lineRule="auto"/>
              <w:jc w:val="center"/>
              <w:rPr>
                <w:rFonts w:hAnsi="宋体"/>
              </w:rPr>
            </w:pPr>
            <w:r>
              <w:rPr>
                <w:rFonts w:hint="eastAsia" w:hAnsi="宋体"/>
              </w:rPr>
              <w:t>投标文件份数</w:t>
            </w:r>
          </w:p>
        </w:tc>
        <w:tc>
          <w:tcPr>
            <w:tcW w:w="6520" w:type="dxa"/>
          </w:tcPr>
          <w:p>
            <w:pPr>
              <w:pStyle w:val="29"/>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12</w:t>
            </w:r>
          </w:p>
        </w:tc>
        <w:tc>
          <w:tcPr>
            <w:tcW w:w="1038" w:type="dxa"/>
            <w:vAlign w:val="center"/>
          </w:tcPr>
          <w:p>
            <w:pPr>
              <w:pStyle w:val="29"/>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9"/>
              <w:spacing w:line="360" w:lineRule="auto"/>
              <w:jc w:val="center"/>
              <w:rPr>
                <w:rFonts w:hAnsi="宋体"/>
              </w:rPr>
            </w:pPr>
            <w:r>
              <w:rPr>
                <w:rFonts w:hint="eastAsia" w:hAnsi="宋体"/>
              </w:rPr>
              <w:t>开标</w:t>
            </w:r>
          </w:p>
        </w:tc>
        <w:tc>
          <w:tcPr>
            <w:tcW w:w="6520" w:type="dxa"/>
          </w:tcPr>
          <w:p>
            <w:pPr>
              <w:pStyle w:val="29"/>
              <w:spacing w:line="360" w:lineRule="auto"/>
              <w:rPr>
                <w:rFonts w:hAnsi="宋体"/>
                <w:b/>
              </w:rPr>
            </w:pPr>
            <w:r>
              <w:rPr>
                <w:rFonts w:hAnsi="宋体"/>
                <w:b/>
              </w:rPr>
              <w:t>时间：</w:t>
            </w:r>
            <w:r>
              <w:rPr>
                <w:rFonts w:hint="eastAsia" w:hAnsi="宋体"/>
                <w:b/>
                <w:snapToGrid w:val="0"/>
                <w:szCs w:val="18"/>
              </w:rPr>
              <w:t>2022年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21</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Ansi="宋体"/>
                <w:b/>
              </w:rPr>
              <w:t>（北京时间）</w:t>
            </w:r>
          </w:p>
          <w:p>
            <w:pPr>
              <w:pStyle w:val="29"/>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13</w:t>
            </w:r>
          </w:p>
        </w:tc>
        <w:tc>
          <w:tcPr>
            <w:tcW w:w="1038" w:type="dxa"/>
            <w:vAlign w:val="center"/>
          </w:tcPr>
          <w:p>
            <w:pPr>
              <w:pStyle w:val="29"/>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9"/>
              <w:spacing w:line="360" w:lineRule="auto"/>
              <w:jc w:val="center"/>
              <w:rPr>
                <w:rFonts w:hAnsi="宋体"/>
              </w:rPr>
            </w:pPr>
            <w:r>
              <w:rPr>
                <w:rFonts w:hint="eastAsia" w:hAnsi="宋体"/>
              </w:rPr>
              <w:t>投标截止时间</w:t>
            </w:r>
          </w:p>
        </w:tc>
        <w:tc>
          <w:tcPr>
            <w:tcW w:w="6520" w:type="dxa"/>
          </w:tcPr>
          <w:p>
            <w:pPr>
              <w:pStyle w:val="29"/>
              <w:spacing w:line="360" w:lineRule="auto"/>
              <w:rPr>
                <w:rFonts w:hAnsi="宋体"/>
                <w:b/>
              </w:rPr>
            </w:pPr>
            <w:r>
              <w:rPr>
                <w:rFonts w:hint="eastAsia" w:hAnsi="宋体"/>
                <w:b/>
                <w:snapToGrid w:val="0"/>
                <w:szCs w:val="18"/>
              </w:rPr>
              <w:t>2022年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21</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14</w:t>
            </w:r>
          </w:p>
        </w:tc>
        <w:tc>
          <w:tcPr>
            <w:tcW w:w="1038" w:type="dxa"/>
            <w:vAlign w:val="center"/>
          </w:tcPr>
          <w:p>
            <w:pPr>
              <w:pStyle w:val="29"/>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9"/>
              <w:spacing w:line="360" w:lineRule="auto"/>
              <w:jc w:val="center"/>
              <w:rPr>
                <w:rFonts w:hAnsi="宋体"/>
              </w:rPr>
            </w:pPr>
            <w:r>
              <w:rPr>
                <w:rFonts w:hint="eastAsia" w:hAnsi="宋体"/>
              </w:rPr>
              <w:t>评标办法</w:t>
            </w:r>
          </w:p>
        </w:tc>
        <w:tc>
          <w:tcPr>
            <w:tcW w:w="6520" w:type="dxa"/>
          </w:tcPr>
          <w:p>
            <w:pPr>
              <w:pStyle w:val="29"/>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15</w:t>
            </w:r>
          </w:p>
        </w:tc>
        <w:tc>
          <w:tcPr>
            <w:tcW w:w="1038" w:type="dxa"/>
            <w:vAlign w:val="center"/>
          </w:tcPr>
          <w:p>
            <w:pPr>
              <w:pStyle w:val="29"/>
              <w:spacing w:line="360" w:lineRule="auto"/>
              <w:jc w:val="center"/>
              <w:rPr>
                <w:rFonts w:hAnsi="宋体"/>
              </w:rPr>
            </w:pPr>
            <w:r>
              <w:rPr>
                <w:rFonts w:hint="eastAsia" w:hAnsi="宋体"/>
              </w:rPr>
              <w:t>33</w:t>
            </w:r>
            <w:r>
              <w:rPr>
                <w:rFonts w:hAnsi="宋体"/>
              </w:rPr>
              <w:t>.1</w:t>
            </w:r>
          </w:p>
        </w:tc>
        <w:tc>
          <w:tcPr>
            <w:tcW w:w="1843" w:type="dxa"/>
            <w:vAlign w:val="center"/>
          </w:tcPr>
          <w:p>
            <w:pPr>
              <w:pStyle w:val="29"/>
              <w:spacing w:line="360" w:lineRule="auto"/>
              <w:jc w:val="center"/>
              <w:rPr>
                <w:snapToGrid w:val="0"/>
                <w:kern w:val="0"/>
              </w:rPr>
            </w:pPr>
            <w:r>
              <w:rPr>
                <w:rFonts w:hint="eastAsia"/>
                <w:snapToGrid w:val="0"/>
                <w:kern w:val="0"/>
              </w:rPr>
              <w:t>履约保证金</w:t>
            </w:r>
          </w:p>
        </w:tc>
        <w:tc>
          <w:tcPr>
            <w:tcW w:w="6520" w:type="dxa"/>
          </w:tcPr>
          <w:p>
            <w:pPr>
              <w:pStyle w:val="29"/>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9"/>
              <w:spacing w:line="360" w:lineRule="auto"/>
              <w:jc w:val="center"/>
              <w:rPr>
                <w:rFonts w:hAnsi="宋体"/>
              </w:rPr>
            </w:pPr>
            <w:r>
              <w:rPr>
                <w:rFonts w:hint="eastAsia" w:hAnsi="宋体"/>
              </w:rPr>
              <w:t>16</w:t>
            </w:r>
          </w:p>
        </w:tc>
        <w:tc>
          <w:tcPr>
            <w:tcW w:w="1038" w:type="dxa"/>
            <w:vAlign w:val="center"/>
          </w:tcPr>
          <w:p>
            <w:pPr>
              <w:pStyle w:val="29"/>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9"/>
              <w:spacing w:line="360" w:lineRule="auto"/>
              <w:jc w:val="center"/>
              <w:rPr>
                <w:rFonts w:hAnsi="宋体"/>
              </w:rPr>
            </w:pPr>
            <w:r>
              <w:rPr>
                <w:rFonts w:hint="eastAsia" w:hAnsi="宋体"/>
              </w:rPr>
              <w:t>中标服务费</w:t>
            </w:r>
          </w:p>
        </w:tc>
        <w:tc>
          <w:tcPr>
            <w:tcW w:w="6520" w:type="dxa"/>
          </w:tcPr>
          <w:p>
            <w:pPr>
              <w:pStyle w:val="29"/>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
      <w:pPr>
        <w:pStyle w:val="6"/>
        <w:rPr>
          <w:rFonts w:hint="eastAsia"/>
        </w:rPr>
      </w:pPr>
      <w:bookmarkStart w:id="18" w:name="_Toc110410295"/>
    </w:p>
    <w:p>
      <w:pPr>
        <w:pStyle w:val="6"/>
      </w:pPr>
      <w:r>
        <w:rPr>
          <w:rFonts w:hint="eastAsia"/>
        </w:rPr>
        <w:t>第六章  投标人须知</w:t>
      </w:r>
      <w:bookmarkEnd w:id="18"/>
    </w:p>
    <w:p>
      <w:pPr>
        <w:pStyle w:val="8"/>
        <w:spacing w:before="0" w:after="0"/>
      </w:pPr>
      <w:bookmarkStart w:id="19" w:name="_Toc110410296"/>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8"/>
        <w:spacing w:before="0" w:after="0"/>
      </w:pPr>
      <w:bookmarkStart w:id="21" w:name="_Toc110410297"/>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8"/>
        <w:spacing w:before="0" w:after="0"/>
      </w:pPr>
      <w:bookmarkStart w:id="22" w:name="q6"/>
      <w:bookmarkEnd w:id="22"/>
      <w:bookmarkStart w:id="23" w:name="_Toc110410298"/>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8"/>
        <w:spacing w:before="0" w:after="0"/>
      </w:pPr>
      <w:bookmarkStart w:id="24" w:name="q7"/>
      <w:bookmarkEnd w:id="24"/>
      <w:bookmarkStart w:id="25" w:name="_Toc110410299"/>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8"/>
        <w:spacing w:before="0" w:after="0"/>
      </w:pPr>
      <w:bookmarkStart w:id="27" w:name="q8"/>
      <w:bookmarkEnd w:id="27"/>
      <w:bookmarkStart w:id="28" w:name="_Toc110410300"/>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8"/>
        <w:spacing w:before="0" w:after="0"/>
      </w:pPr>
      <w:bookmarkStart w:id="30" w:name="_Toc110410301"/>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552450</wp:posOffset>
                      </wp:positionV>
                      <wp:extent cx="54610" cy="119380"/>
                      <wp:effectExtent l="4445" t="1905" r="0" b="2540"/>
                      <wp:wrapNone/>
                      <wp:docPr id="20" name="__TH_B3733"/>
                      <wp:cNvGraphicFramePr/>
                      <a:graphic xmlns:a="http://schemas.openxmlformats.org/drawingml/2006/main">
                        <a:graphicData uri="http://schemas.microsoft.com/office/word/2010/wordprocessingShape">
                          <wps:wsp>
                            <wps:cNvSpPr txBox="1">
                              <a:spLocks noChangeArrowheads="1"/>
                            </wps:cNvSpPr>
                            <wps:spPr bwMode="auto">
                              <a:xfrm>
                                <a:off x="0" y="0"/>
                                <a:ext cx="54610" cy="119380"/>
                              </a:xfrm>
                              <a:prstGeom prst="rect">
                                <a:avLst/>
                              </a:prstGeom>
                              <a:noFill/>
                              <a:ln>
                                <a:noFill/>
                              </a:ln>
                            </wps:spPr>
                            <wps:txbx>
                              <w:txbxContent>
                                <w:p>
                                  <w:pPr>
                                    <w:snapToGrid w:val="0"/>
                                    <w:rPr>
                                      <w:sz w:val="15"/>
                                    </w:rPr>
                                  </w:pPr>
                                  <w:r>
                                    <w:rPr>
                                      <w:rFonts w:hint="eastAsia"/>
                                      <w:sz w:val="15"/>
                                    </w:rPr>
                                    <w:t>元</w:t>
                                  </w:r>
                                </w:p>
                              </w:txbxContent>
                            </wps:txbx>
                            <wps:bodyPr rot="0" vert="horz" wrap="square" lIns="0" tIns="0" rIns="0" bIns="0" anchor="t" anchorCtr="0" upright="1">
                              <a:noAutofit/>
                            </wps:bodyPr>
                          </wps:wsp>
                        </a:graphicData>
                      </a:graphic>
                    </wp:anchor>
                  </w:drawing>
                </mc:Choice>
                <mc:Fallback>
                  <w:pict>
                    <v:shape id="__TH_B3733" o:spid="_x0000_s1026" o:spt="202" type="#_x0000_t202" style="position:absolute;left:0pt;margin-left:56.4pt;margin-top:43.5pt;height:9.4pt;width:4.3pt;z-index:25167462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wITS9gAAAAKAQAADwAAAAAAAAABACAAAAAiAAAAZHJzL2Rv&#10;d25yZXYueG1sUEsBAhQAFAAAAAgAh07iQMWi01IBAgAAAwQAAA4AAAAAAAAAAQAgAAAAJwEAAGRy&#10;cy9lMm9Eb2MueG1sUEsFBgAAAAAGAAYAWQEAAJoFA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3600" behindDoc="0" locked="0" layoutInCell="1" allowOverlap="1">
                      <wp:simplePos x="0" y="0"/>
                      <wp:positionH relativeFrom="column">
                        <wp:posOffset>565785</wp:posOffset>
                      </wp:positionH>
                      <wp:positionV relativeFrom="paragraph">
                        <wp:posOffset>537845</wp:posOffset>
                      </wp:positionV>
                      <wp:extent cx="125095" cy="119380"/>
                      <wp:effectExtent l="0" t="0" r="1905" b="0"/>
                      <wp:wrapNone/>
                      <wp:docPr id="19" name="__TH_B3632"/>
                      <wp:cNvGraphicFramePr/>
                      <a:graphic xmlns:a="http://schemas.openxmlformats.org/drawingml/2006/main">
                        <a:graphicData uri="http://schemas.microsoft.com/office/word/2010/wordprocessingShape">
                          <wps:wsp>
                            <wps:cNvSpPr txBox="1">
                              <a:spLocks noChangeArrowheads="1"/>
                            </wps:cNvSpPr>
                            <wps:spPr bwMode="auto">
                              <a:xfrm>
                                <a:off x="0" y="0"/>
                                <a:ext cx="125095" cy="119380"/>
                              </a:xfrm>
                              <a:prstGeom prst="rect">
                                <a:avLst/>
                              </a:prstGeom>
                              <a:noFill/>
                              <a:ln>
                                <a:noFill/>
                              </a:ln>
                            </wps:spPr>
                            <wps:txbx>
                              <w:txbxContent>
                                <w:p>
                                  <w:pPr>
                                    <w:snapToGrid w:val="0"/>
                                    <w:rPr>
                                      <w:sz w:val="15"/>
                                    </w:rPr>
                                  </w:pPr>
                                  <w:r>
                                    <w:rPr>
                                      <w:rFonts w:hint="eastAsia"/>
                                      <w:sz w:val="15"/>
                                    </w:rPr>
                                    <w:t>万</w:t>
                                  </w:r>
                                </w:p>
                              </w:txbxContent>
                            </wps:txbx>
                            <wps:bodyPr rot="0" vert="horz" wrap="square" lIns="0" tIns="0" rIns="0" bIns="0" anchor="t" anchorCtr="0" upright="1">
                              <a:noAutofit/>
                            </wps:bodyPr>
                          </wps:wsp>
                        </a:graphicData>
                      </a:graphic>
                    </wp:anchor>
                  </w:drawing>
                </mc:Choice>
                <mc:Fallback>
                  <w:pict>
                    <v:shape id="__TH_B3632" o:spid="_x0000_s1026" o:spt="202" type="#_x0000_t202" style="position:absolute;left:0pt;margin-left:44.55pt;margin-top:42.35pt;height:9.4pt;width:9.85pt;z-index:25167360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oDO51wAAAAkBAAAPAAAAAAAAAAEAIAAAACIAAABkcnMvZG93&#10;bnJldi54bWxQSwECFAAUAAAACACHTuJAFkxhGAECAAAEBAAADgAAAAAAAAABACAAAAAmAQAAZHJz&#10;L2Uyb0RvYy54bWxQSwUGAAAAAAYABgBZAQAAmQU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2576" behindDoc="0" locked="0" layoutInCell="1" allowOverlap="1">
                      <wp:simplePos x="0" y="0"/>
                      <wp:positionH relativeFrom="column">
                        <wp:posOffset>488315</wp:posOffset>
                      </wp:positionH>
                      <wp:positionV relativeFrom="paragraph">
                        <wp:posOffset>523240</wp:posOffset>
                      </wp:positionV>
                      <wp:extent cx="49530" cy="119380"/>
                      <wp:effectExtent l="0" t="1270" r="2540" b="3175"/>
                      <wp:wrapNone/>
                      <wp:docPr id="18" name="__TH_B3531"/>
                      <wp:cNvGraphicFramePr/>
                      <a:graphic xmlns:a="http://schemas.openxmlformats.org/drawingml/2006/main">
                        <a:graphicData uri="http://schemas.microsoft.com/office/word/2010/wordprocessingShape">
                          <wps:wsp>
                            <wps:cNvSpPr txBox="1">
                              <a:spLocks noChangeArrowheads="1"/>
                            </wps:cNvSpPr>
                            <wps:spPr bwMode="auto">
                              <a:xfrm>
                                <a:off x="0" y="0"/>
                                <a:ext cx="49530" cy="119380"/>
                              </a:xfrm>
                              <a:prstGeom prst="rect">
                                <a:avLst/>
                              </a:prstGeom>
                              <a:noFill/>
                              <a:ln>
                                <a:noFill/>
                              </a:ln>
                            </wps:spPr>
                            <wps:txbx>
                              <w:txbxContent>
                                <w:p>
                                  <w:pPr>
                                    <w:snapToGrid w:val="0"/>
                                    <w:rPr>
                                      <w:sz w:val="15"/>
                                    </w:rPr>
                                  </w:pPr>
                                  <w:r>
                                    <w:rPr>
                                      <w:sz w:val="15"/>
                                    </w:rPr>
                                    <w:t>(</w:t>
                                  </w:r>
                                </w:p>
                              </w:txbxContent>
                            </wps:txbx>
                            <wps:bodyPr rot="0" vert="horz" wrap="square" lIns="0" tIns="0" rIns="0" bIns="0" anchor="t" anchorCtr="0" upright="1">
                              <a:noAutofit/>
                            </wps:bodyPr>
                          </wps:wsp>
                        </a:graphicData>
                      </a:graphic>
                    </wp:anchor>
                  </w:drawing>
                </mc:Choice>
                <mc:Fallback>
                  <w:pict>
                    <v:shape id="__TH_B3531" o:spid="_x0000_s1026" o:spt="202" type="#_x0000_t202" style="position:absolute;left:0pt;margin-left:38.45pt;margin-top:41.2pt;height:9.4pt;width:3.9pt;z-index:25167257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mV162AAAAAgBAAAPAAAAAAAAAAEAIAAAACIAAABkcnMvZG93&#10;bnJldi54bWxQSwECFAAUAAAACACHTuJAOMH14QACAAADBAAADgAAAAAAAAABACAAAAAnAQAAZHJz&#10;L2Uyb0RvYy54bWxQSwUGAAAAAAYABgBZAQAAmQU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1552" behindDoc="0" locked="0" layoutInCell="1" allowOverlap="1">
                      <wp:simplePos x="0" y="0"/>
                      <wp:positionH relativeFrom="column">
                        <wp:posOffset>334645</wp:posOffset>
                      </wp:positionH>
                      <wp:positionV relativeFrom="paragraph">
                        <wp:posOffset>508635</wp:posOffset>
                      </wp:positionV>
                      <wp:extent cx="125730" cy="119380"/>
                      <wp:effectExtent l="3810" t="0" r="3810" b="0"/>
                      <wp:wrapNone/>
                      <wp:docPr id="17" name="__TH_B3430"/>
                      <wp:cNvGraphicFramePr/>
                      <a:graphic xmlns:a="http://schemas.openxmlformats.org/drawingml/2006/main">
                        <a:graphicData uri="http://schemas.microsoft.com/office/word/2010/wordprocessingShape">
                          <wps:wsp>
                            <wps:cNvSpPr txBox="1">
                              <a:spLocks noChangeArrowheads="1"/>
                            </wps:cNvSpPr>
                            <wps:spPr bwMode="auto">
                              <a:xfrm>
                                <a:off x="0" y="0"/>
                                <a:ext cx="125730" cy="119380"/>
                              </a:xfrm>
                              <a:prstGeom prst="rect">
                                <a:avLst/>
                              </a:prstGeom>
                              <a:noFill/>
                              <a:ln>
                                <a:noFill/>
                              </a:ln>
                            </wps:spPr>
                            <wps:txbx>
                              <w:txbxContent>
                                <w:p>
                                  <w:pPr>
                                    <w:snapToGrid w:val="0"/>
                                    <w:rPr>
                                      <w:sz w:val="15"/>
                                    </w:rPr>
                                  </w:pPr>
                                  <w:r>
                                    <w:rPr>
                                      <w:rFonts w:hint="eastAsia"/>
                                      <w:sz w:val="15"/>
                                    </w:rPr>
                                    <w:t>额</w:t>
                                  </w:r>
                                </w:p>
                              </w:txbxContent>
                            </wps:txbx>
                            <wps:bodyPr rot="0" vert="horz" wrap="square" lIns="0" tIns="0" rIns="0" bIns="0" anchor="t" anchorCtr="0" upright="1">
                              <a:noAutofit/>
                            </wps:bodyPr>
                          </wps:wsp>
                        </a:graphicData>
                      </a:graphic>
                    </wp:anchor>
                  </w:drawing>
                </mc:Choice>
                <mc:Fallback>
                  <w:pict>
                    <v:shape id="__TH_B3430" o:spid="_x0000_s1026" o:spt="202" type="#_x0000_t202" style="position:absolute;left:0pt;margin-left:26.35pt;margin-top:40.05pt;height:9.4pt;width:9.9pt;z-index:25167155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akhx1wAAAAcBAAAPAAAAAAAAAAEAIAAAACIAAABkcnMvZG93&#10;bnJldi54bWxQSwECFAAUAAAACACHTuJA6e+fIwECAAAEBAAADgAAAAAAAAABACAAAAAmAQAAZHJz&#10;L2Uyb0RvYy54bWxQSwUGAAAAAAYABgBZAQAAmQU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0528" behindDoc="0" locked="0" layoutInCell="1" allowOverlap="1">
                      <wp:simplePos x="0" y="0"/>
                      <wp:positionH relativeFrom="column">
                        <wp:posOffset>219710</wp:posOffset>
                      </wp:positionH>
                      <wp:positionV relativeFrom="paragraph">
                        <wp:posOffset>494030</wp:posOffset>
                      </wp:positionV>
                      <wp:extent cx="125095" cy="119380"/>
                      <wp:effectExtent l="3175" t="635" r="0" b="3810"/>
                      <wp:wrapNone/>
                      <wp:docPr id="16" name="__TH_B3329"/>
                      <wp:cNvGraphicFramePr/>
                      <a:graphic xmlns:a="http://schemas.openxmlformats.org/drawingml/2006/main">
                        <a:graphicData uri="http://schemas.microsoft.com/office/word/2010/wordprocessingShape">
                          <wps:wsp>
                            <wps:cNvSpPr txBox="1">
                              <a:spLocks noChangeArrowheads="1"/>
                            </wps:cNvSpPr>
                            <wps:spPr bwMode="auto">
                              <a:xfrm>
                                <a:off x="0" y="0"/>
                                <a:ext cx="125095" cy="119380"/>
                              </a:xfrm>
                              <a:prstGeom prst="rect">
                                <a:avLst/>
                              </a:prstGeom>
                              <a:noFill/>
                              <a:ln>
                                <a:noFill/>
                              </a:ln>
                            </wps:spPr>
                            <wps:txbx>
                              <w:txbxContent>
                                <w:p>
                                  <w:pPr>
                                    <w:snapToGrid w:val="0"/>
                                    <w:rPr>
                                      <w:sz w:val="15"/>
                                    </w:rPr>
                                  </w:pPr>
                                  <w:r>
                                    <w:rPr>
                                      <w:rFonts w:hint="eastAsia"/>
                                      <w:sz w:val="15"/>
                                    </w:rPr>
                                    <w:t>金</w:t>
                                  </w:r>
                                </w:p>
                              </w:txbxContent>
                            </wps:txbx>
                            <wps:bodyPr rot="0" vert="horz" wrap="square" lIns="0" tIns="0" rIns="0" bIns="0" anchor="t" anchorCtr="0" upright="1">
                              <a:noAutofit/>
                            </wps:bodyPr>
                          </wps:wsp>
                        </a:graphicData>
                      </a:graphic>
                    </wp:anchor>
                  </w:drawing>
                </mc:Choice>
                <mc:Fallback>
                  <w:pict>
                    <v:shape id="__TH_B3329" o:spid="_x0000_s1026" o:spt="202" type="#_x0000_t202" style="position:absolute;left:0pt;margin-left:17.3pt;margin-top:38.9pt;height:9.4pt;width:9.85pt;z-index:25167052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nU8h1wAAAAcBAAAPAAAAAAAAAAEAIAAAACIAAABkcnMvZG93&#10;bnJldi54bWxQSwECFAAUAAAACACHTuJAkj0sWQECAAAEBAAADgAAAAAAAAABACAAAAAmAQAAZHJz&#10;L2Uyb0RvYy54bWxQSwUGAAAAAAYABgBZAQAAmQU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479425</wp:posOffset>
                      </wp:positionV>
                      <wp:extent cx="125730" cy="119380"/>
                      <wp:effectExtent l="1905" t="0" r="0" b="0"/>
                      <wp:wrapNone/>
                      <wp:docPr id="15" name="__TH_B3228"/>
                      <wp:cNvGraphicFramePr/>
                      <a:graphic xmlns:a="http://schemas.openxmlformats.org/drawingml/2006/main">
                        <a:graphicData uri="http://schemas.microsoft.com/office/word/2010/wordprocessingShape">
                          <wps:wsp>
                            <wps:cNvSpPr txBox="1">
                              <a:spLocks noChangeArrowheads="1"/>
                            </wps:cNvSpPr>
                            <wps:spPr bwMode="auto">
                              <a:xfrm>
                                <a:off x="0" y="0"/>
                                <a:ext cx="125730" cy="119380"/>
                              </a:xfrm>
                              <a:prstGeom prst="rect">
                                <a:avLst/>
                              </a:prstGeom>
                              <a:noFill/>
                              <a:ln>
                                <a:noFill/>
                              </a:ln>
                            </wps:spPr>
                            <wps:txbx>
                              <w:txbxContent>
                                <w:p>
                                  <w:pPr>
                                    <w:snapToGrid w:val="0"/>
                                    <w:rPr>
                                      <w:sz w:val="15"/>
                                    </w:rPr>
                                  </w:pPr>
                                  <w:r>
                                    <w:rPr>
                                      <w:rFonts w:hint="eastAsia"/>
                                      <w:sz w:val="15"/>
                                    </w:rPr>
                                    <w:t>标</w:t>
                                  </w:r>
                                </w:p>
                              </w:txbxContent>
                            </wps:txbx>
                            <wps:bodyPr rot="0" vert="horz" wrap="square" lIns="0" tIns="0" rIns="0" bIns="0" anchor="t" anchorCtr="0" upright="1">
                              <a:noAutofit/>
                            </wps:bodyPr>
                          </wps:wsp>
                        </a:graphicData>
                      </a:graphic>
                    </wp:anchor>
                  </w:drawing>
                </mc:Choice>
                <mc:Fallback>
                  <w:pict>
                    <v:shape id="__TH_B3228" o:spid="_x0000_s1026" o:spt="202" type="#_x0000_t202" style="position:absolute;left:0pt;margin-left:8.2pt;margin-top:37.75pt;height:9.4pt;width:9.9pt;z-index:25166950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bWdhPWAAAABwEAAA8AAAAAAAAAAQAgAAAAIgAAAGRycy9kb3du&#10;cmV2LnhtbFBLAQIUABQAAAAIAIdO4kDWwGPyAQIAAAQEAAAOAAAAAAAAAAEAIAAAACUBAABkcnMv&#10;ZTJvRG9jLnhtbFBLBQYAAAAABgAGAFkBAACYBQ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464820</wp:posOffset>
                      </wp:positionV>
                      <wp:extent cx="125095" cy="119380"/>
                      <wp:effectExtent l="1270" t="0" r="0" b="4445"/>
                      <wp:wrapNone/>
                      <wp:docPr id="14" name="__TH_B3127"/>
                      <wp:cNvGraphicFramePr/>
                      <a:graphic xmlns:a="http://schemas.openxmlformats.org/drawingml/2006/main">
                        <a:graphicData uri="http://schemas.microsoft.com/office/word/2010/wordprocessingShape">
                          <wps:wsp>
                            <wps:cNvSpPr txBox="1">
                              <a:spLocks noChangeArrowheads="1"/>
                            </wps:cNvSpPr>
                            <wps:spPr bwMode="auto">
                              <a:xfrm>
                                <a:off x="0" y="0"/>
                                <a:ext cx="125095" cy="119380"/>
                              </a:xfrm>
                              <a:prstGeom prst="rect">
                                <a:avLst/>
                              </a:prstGeom>
                              <a:noFill/>
                              <a:ln>
                                <a:noFill/>
                              </a:ln>
                            </wps:spPr>
                            <wps:txbx>
                              <w:txbxContent>
                                <w:p>
                                  <w:pPr>
                                    <w:snapToGrid w:val="0"/>
                                    <w:rPr>
                                      <w:sz w:val="15"/>
                                    </w:rPr>
                                  </w:pPr>
                                  <w:r>
                                    <w:rPr>
                                      <w:rFonts w:hint="eastAsia"/>
                                      <w:sz w:val="15"/>
                                    </w:rPr>
                                    <w:t>中</w:t>
                                  </w:r>
                                </w:p>
                              </w:txbxContent>
                            </wps:txbx>
                            <wps:bodyPr rot="0" vert="horz" wrap="square" lIns="0" tIns="0" rIns="0" bIns="0" anchor="t" anchorCtr="0" upright="1">
                              <a:noAutofit/>
                            </wps:bodyPr>
                          </wps:wsp>
                        </a:graphicData>
                      </a:graphic>
                    </wp:anchor>
                  </w:drawing>
                </mc:Choice>
                <mc:Fallback>
                  <w:pict>
                    <v:shape id="__TH_B3127" o:spid="_x0000_s1026" o:spt="202" type="#_x0000_t202" style="position:absolute;left:0pt;margin-left:-0.85pt;margin-top:36.6pt;height:9.4pt;width:9.85pt;z-index:25166848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3oM01gAAAAcBAAAPAAAAAAAAAAEAIAAAACIAAABkcnMvZG93&#10;bnJldi54bWxQSwECFAAUAAAACACHTuJA3TuuIAICAAAEBAAADgAAAAAAAAABACAAAAAlAQAAZHJz&#10;L2Uyb0RvYy54bWxQSwUGAAAAAAYABgBZAQAAmQU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7456" behindDoc="0" locked="0" layoutInCell="1" allowOverlap="1">
                      <wp:simplePos x="0" y="0"/>
                      <wp:positionH relativeFrom="column">
                        <wp:posOffset>805180</wp:posOffset>
                      </wp:positionH>
                      <wp:positionV relativeFrom="paragraph">
                        <wp:posOffset>407035</wp:posOffset>
                      </wp:positionV>
                      <wp:extent cx="125095" cy="118745"/>
                      <wp:effectExtent l="0" t="0" r="635" b="0"/>
                      <wp:wrapNone/>
                      <wp:docPr id="13" name="__TH_B2226"/>
                      <wp:cNvGraphicFramePr/>
                      <a:graphic xmlns:a="http://schemas.openxmlformats.org/drawingml/2006/main">
                        <a:graphicData uri="http://schemas.microsoft.com/office/word/2010/wordprocessingShape">
                          <wps:wsp>
                            <wps:cNvSpPr txBox="1">
                              <a:spLocks noChangeArrowheads="1"/>
                            </wps:cNvSpPr>
                            <wps:spPr bwMode="auto">
                              <a:xfrm>
                                <a:off x="0" y="0"/>
                                <a:ext cx="125095" cy="118745"/>
                              </a:xfrm>
                              <a:prstGeom prst="rect">
                                <a:avLst/>
                              </a:prstGeom>
                              <a:noFill/>
                              <a:ln>
                                <a:noFill/>
                              </a:ln>
                            </wps:spPr>
                            <wps:txbx>
                              <w:txbxContent>
                                <w:p>
                                  <w:pPr>
                                    <w:snapToGrid w:val="0"/>
                                    <w:rPr>
                                      <w:sz w:val="15"/>
                                    </w:rPr>
                                  </w:pPr>
                                  <w:r>
                                    <w:rPr>
                                      <w:rFonts w:hint="eastAsia"/>
                                      <w:sz w:val="15"/>
                                    </w:rPr>
                                    <w:t>率</w:t>
                                  </w:r>
                                </w:p>
                              </w:txbxContent>
                            </wps:txbx>
                            <wps:bodyPr rot="0" vert="horz" wrap="square" lIns="0" tIns="0" rIns="0" bIns="0" anchor="t" anchorCtr="0" upright="1">
                              <a:noAutofit/>
                            </wps:bodyPr>
                          </wps:wsp>
                        </a:graphicData>
                      </a:graphic>
                    </wp:anchor>
                  </w:drawing>
                </mc:Choice>
                <mc:Fallback>
                  <w:pict>
                    <v:shape id="__TH_B2226" o:spid="_x0000_s1026" o:spt="202" type="#_x0000_t202" style="position:absolute;left:0pt;margin-left:63.4pt;margin-top:32.05pt;height:9.35pt;width:9.85pt;z-index:25166745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a0q1NcAAAAJAQAADwAAAAAAAAABACAAAAAiAAAAZHJzL2Rv&#10;d25yZXYueG1sUEsBAhQAFAAAAAgAh07iQKM/uloCAgAABAQAAA4AAAAAAAAAAQAgAAAAJgEAAGRy&#10;cy9lMm9Eb2MueG1sUEsFBgAAAAAGAAYAWQEAAJoFA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2" name="__TH_B2125"/>
                      <wp:cNvGraphicFramePr/>
                      <a:graphic xmlns:a="http://schemas.openxmlformats.org/drawingml/2006/main">
                        <a:graphicData uri="http://schemas.microsoft.com/office/word/2010/wordprocessingShape">
                          <wps:wsp>
                            <wps:cNvSpPr txBox="1">
                              <a:spLocks noChangeArrowheads="1"/>
                            </wps:cNvSpPr>
                            <wps:spPr bwMode="auto">
                              <a:xfrm>
                                <a:off x="0" y="0"/>
                                <a:ext cx="125730" cy="119380"/>
                              </a:xfrm>
                              <a:prstGeom prst="rect">
                                <a:avLst/>
                              </a:prstGeom>
                              <a:noFill/>
                              <a:ln>
                                <a:noFill/>
                              </a:ln>
                            </wps:spPr>
                            <wps:txbx>
                              <w:txbxContent>
                                <w:p>
                                  <w:pPr>
                                    <w:snapToGrid w:val="0"/>
                                    <w:rPr>
                                      <w:sz w:val="15"/>
                                    </w:rPr>
                                  </w:pPr>
                                  <w:r>
                                    <w:rPr>
                                      <w:rFonts w:hint="eastAsia"/>
                                      <w:sz w:val="15"/>
                                    </w:rPr>
                                    <w:t>费</w:t>
                                  </w:r>
                                </w:p>
                              </w:txbxContent>
                            </wps:txbx>
                            <wps:bodyPr rot="0" vert="horz" wrap="square" lIns="0" tIns="0" rIns="0" bIns="0" anchor="t" anchorCtr="0" upright="1">
                              <a:noAutofit/>
                            </wps:bodyPr>
                          </wps:wsp>
                        </a:graphicData>
                      </a:graphic>
                    </wp:anchor>
                  </w:drawing>
                </mc:Choice>
                <mc:Fallback>
                  <w:pict>
                    <v:shape id="__TH_B2125" o:spid="_x0000_s1026" o:spt="202" type="#_x0000_t202" style="position:absolute;left:0pt;margin-left:19.95pt;margin-top:10.05pt;height:9.4pt;width:9.9pt;z-index:25166643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3HkNdUAAAAHAQAADwAAAAAAAAABACAAAAAiAAAAZHJzL2Rvd25y&#10;ZXYueG1sUEsBAhQAFAAAAAgAh07iQHwJl/gBAgAABAQAAA4AAAAAAAAAAQAgAAAAJAEAAGRycy9l&#10;Mm9Eb2MueG1sUEsFBgAAAAAGAAYAWQEAAJcFA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5408" behindDoc="0" locked="0" layoutInCell="1" allowOverlap="1">
                      <wp:simplePos x="0" y="0"/>
                      <wp:positionH relativeFrom="column">
                        <wp:posOffset>1125855</wp:posOffset>
                      </wp:positionH>
                      <wp:positionV relativeFrom="paragraph">
                        <wp:posOffset>410845</wp:posOffset>
                      </wp:positionV>
                      <wp:extent cx="125095" cy="118745"/>
                      <wp:effectExtent l="4445" t="3175" r="3810" b="1905"/>
                      <wp:wrapNone/>
                      <wp:docPr id="11" name="__TH_B1424"/>
                      <wp:cNvGraphicFramePr/>
                      <a:graphic xmlns:a="http://schemas.openxmlformats.org/drawingml/2006/main">
                        <a:graphicData uri="http://schemas.microsoft.com/office/word/2010/wordprocessingShape">
                          <wps:wsp>
                            <wps:cNvSpPr txBox="1">
                              <a:spLocks noChangeArrowheads="1"/>
                            </wps:cNvSpPr>
                            <wps:spPr bwMode="auto">
                              <a:xfrm>
                                <a:off x="0" y="0"/>
                                <a:ext cx="125095" cy="118745"/>
                              </a:xfrm>
                              <a:prstGeom prst="rect">
                                <a:avLst/>
                              </a:prstGeom>
                              <a:noFill/>
                              <a:ln>
                                <a:noFill/>
                              </a:ln>
                            </wps:spPr>
                            <wps:txbx>
                              <w:txbxContent>
                                <w:p>
                                  <w:pPr>
                                    <w:snapToGrid w:val="0"/>
                                    <w:rPr>
                                      <w:sz w:val="15"/>
                                    </w:rPr>
                                  </w:pPr>
                                  <w:r>
                                    <w:rPr>
                                      <w:rFonts w:hint="eastAsia"/>
                                      <w:sz w:val="15"/>
                                    </w:rPr>
                                    <w:t>型</w:t>
                                  </w:r>
                                </w:p>
                              </w:txbxContent>
                            </wps:txbx>
                            <wps:bodyPr rot="0" vert="horz" wrap="square" lIns="0" tIns="0" rIns="0" bIns="0" anchor="t" anchorCtr="0" upright="1">
                              <a:noAutofit/>
                            </wps:bodyPr>
                          </wps:wsp>
                        </a:graphicData>
                      </a:graphic>
                    </wp:anchor>
                  </w:drawing>
                </mc:Choice>
                <mc:Fallback>
                  <w:pict>
                    <v:shape id="__TH_B1424" o:spid="_x0000_s1026" o:spt="202" type="#_x0000_t202" style="position:absolute;left:0pt;margin-left:88.65pt;margin-top:32.35pt;height:9.35pt;width:9.85pt;z-index:25166540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9TJANgAAAAJAQAADwAAAAAAAAABACAAAAAiAAAAZHJzL2Rv&#10;d25yZXYueG1sUEsBAhQAFAAAAAgAh07iQAW23tgBAgAABAQAAA4AAAAAAAAAAQAgAAAAJwEAAGRy&#10;cy9lMm9Eb2MueG1sUEsFBgAAAAAGAAYAWQEAAJoFA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4384" behindDoc="0" locked="0" layoutInCell="1" allowOverlap="1">
                      <wp:simplePos x="0" y="0"/>
                      <wp:positionH relativeFrom="column">
                        <wp:posOffset>1066165</wp:posOffset>
                      </wp:positionH>
                      <wp:positionV relativeFrom="paragraph">
                        <wp:posOffset>289560</wp:posOffset>
                      </wp:positionV>
                      <wp:extent cx="125095" cy="119380"/>
                      <wp:effectExtent l="1905" t="0" r="0" b="0"/>
                      <wp:wrapNone/>
                      <wp:docPr id="10" name="__TH_B1323"/>
                      <wp:cNvGraphicFramePr/>
                      <a:graphic xmlns:a="http://schemas.openxmlformats.org/drawingml/2006/main">
                        <a:graphicData uri="http://schemas.microsoft.com/office/word/2010/wordprocessingShape">
                          <wps:wsp>
                            <wps:cNvSpPr txBox="1">
                              <a:spLocks noChangeArrowheads="1"/>
                            </wps:cNvSpPr>
                            <wps:spPr bwMode="auto">
                              <a:xfrm>
                                <a:off x="0" y="0"/>
                                <a:ext cx="125095" cy="119380"/>
                              </a:xfrm>
                              <a:prstGeom prst="rect">
                                <a:avLst/>
                              </a:prstGeom>
                              <a:noFill/>
                              <a:ln>
                                <a:noFill/>
                              </a:ln>
                            </wps:spPr>
                            <wps:txbx>
                              <w:txbxContent>
                                <w:p>
                                  <w:pPr>
                                    <w:snapToGrid w:val="0"/>
                                    <w:rPr>
                                      <w:sz w:val="15"/>
                                    </w:rPr>
                                  </w:pPr>
                                  <w:r>
                                    <w:rPr>
                                      <w:rFonts w:hint="eastAsia"/>
                                      <w:sz w:val="15"/>
                                    </w:rPr>
                                    <w:t>类</w:t>
                                  </w:r>
                                </w:p>
                              </w:txbxContent>
                            </wps:txbx>
                            <wps:bodyPr rot="0" vert="horz" wrap="square" lIns="0" tIns="0" rIns="0" bIns="0" anchor="t" anchorCtr="0" upright="1">
                              <a:noAutofit/>
                            </wps:bodyPr>
                          </wps:wsp>
                        </a:graphicData>
                      </a:graphic>
                    </wp:anchor>
                  </w:drawing>
                </mc:Choice>
                <mc:Fallback>
                  <w:pict>
                    <v:shape id="__TH_B1323" o:spid="_x0000_s1026" o:spt="202" type="#_x0000_t202" style="position:absolute;left:0pt;margin-left:83.95pt;margin-top:22.8pt;height:9.4pt;width:9.85pt;z-index:25166438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6lWZ2AAAAAkBAAAPAAAAAAAAAAEAIAAAACIAAABkcnMvZG93&#10;bnJldi54bWxQSwECFAAUAAAACACHTuJAKiMe0gACAAAEBAAADgAAAAAAAAABACAAAAAnAQAAZHJz&#10;L2Uyb0RvYy54bWxQSwUGAAAAAAYABgBZAQAAmQU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9" name="__TH_B1222"/>
                      <wp:cNvGraphicFramePr/>
                      <a:graphic xmlns:a="http://schemas.openxmlformats.org/drawingml/2006/main">
                        <a:graphicData uri="http://schemas.microsoft.com/office/word/2010/wordprocessingShape">
                          <wps:wsp>
                            <wps:cNvSpPr txBox="1">
                              <a:spLocks noChangeArrowheads="1"/>
                            </wps:cNvSpPr>
                            <wps:spPr bwMode="auto">
                              <a:xfrm>
                                <a:off x="0" y="0"/>
                                <a:ext cx="125095" cy="119380"/>
                              </a:xfrm>
                              <a:prstGeom prst="rect">
                                <a:avLst/>
                              </a:prstGeom>
                              <a:noFill/>
                              <a:ln>
                                <a:noFill/>
                              </a:ln>
                            </wps:spPr>
                            <wps:txbx>
                              <w:txbxContent>
                                <w:p>
                                  <w:pPr>
                                    <w:snapToGrid w:val="0"/>
                                    <w:rPr>
                                      <w:sz w:val="15"/>
                                    </w:rPr>
                                  </w:pPr>
                                  <w:r>
                                    <w:rPr>
                                      <w:rFonts w:hint="eastAsia"/>
                                      <w:sz w:val="15"/>
                                    </w:rPr>
                                    <w:t>务</w:t>
                                  </w:r>
                                </w:p>
                              </w:txbxContent>
                            </wps:txbx>
                            <wps:bodyPr rot="0" vert="horz" wrap="square" lIns="0" tIns="0" rIns="0" bIns="0" anchor="t" anchorCtr="0" upright="1">
                              <a:noAutofit/>
                            </wps:bodyPr>
                          </wps:wsp>
                        </a:graphicData>
                      </a:graphic>
                    </wp:anchor>
                  </w:drawing>
                </mc:Choice>
                <mc:Fallback>
                  <w:pict>
                    <v:shape id="__TH_B1222" o:spid="_x0000_s1026" o:spt="202" type="#_x0000_t202" style="position:absolute;left:0pt;margin-left:79.25pt;margin-top:13.3pt;height:9.4pt;width:9.85pt;z-index:25166336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82j9gAAAAJAQAADwAAAAAAAAABACAAAAAiAAAAZHJzL2Rv&#10;d25yZXYueG1sUEsBAhQAFAAAAAgAh07iQKPbd+0BAgAAAwQAAA4AAAAAAAAAAQAgAAAAJwEAAGRy&#10;cy9lMm9Eb2MueG1sUEsFBgAAAAAGAAYAWQEAAJoFA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946785</wp:posOffset>
                      </wp:positionH>
                      <wp:positionV relativeFrom="paragraph">
                        <wp:posOffset>48260</wp:posOffset>
                      </wp:positionV>
                      <wp:extent cx="125095" cy="119380"/>
                      <wp:effectExtent l="0" t="2540" r="1905" b="1905"/>
                      <wp:wrapNone/>
                      <wp:docPr id="8" name="__TH_B1121"/>
                      <wp:cNvGraphicFramePr/>
                      <a:graphic xmlns:a="http://schemas.openxmlformats.org/drawingml/2006/main">
                        <a:graphicData uri="http://schemas.microsoft.com/office/word/2010/wordprocessingShape">
                          <wps:wsp>
                            <wps:cNvSpPr txBox="1">
                              <a:spLocks noChangeArrowheads="1"/>
                            </wps:cNvSpPr>
                            <wps:spPr bwMode="auto">
                              <a:xfrm>
                                <a:off x="0" y="0"/>
                                <a:ext cx="125095" cy="119380"/>
                              </a:xfrm>
                              <a:prstGeom prst="rect">
                                <a:avLst/>
                              </a:prstGeom>
                              <a:noFill/>
                              <a:ln>
                                <a:noFill/>
                              </a:ln>
                            </wps:spPr>
                            <wps:txbx>
                              <w:txbxContent>
                                <w:p>
                                  <w:pPr>
                                    <w:snapToGrid w:val="0"/>
                                    <w:rPr>
                                      <w:sz w:val="15"/>
                                    </w:rPr>
                                  </w:pPr>
                                  <w:r>
                                    <w:rPr>
                                      <w:rFonts w:hint="eastAsia"/>
                                      <w:sz w:val="15"/>
                                    </w:rPr>
                                    <w:t>服</w:t>
                                  </w:r>
                                </w:p>
                              </w:txbxContent>
                            </wps:txbx>
                            <wps:bodyPr rot="0" vert="horz" wrap="square" lIns="0" tIns="0" rIns="0" bIns="0" anchor="t" anchorCtr="0" upright="1">
                              <a:noAutofit/>
                            </wps:bodyPr>
                          </wps:wsp>
                        </a:graphicData>
                      </a:graphic>
                    </wp:anchor>
                  </w:drawing>
                </mc:Choice>
                <mc:Fallback>
                  <w:pict>
                    <v:shape id="__TH_B1121" o:spid="_x0000_s1026" o:spt="202" type="#_x0000_t202" style="position:absolute;left:0pt;margin-left:74.55pt;margin-top:3.8pt;height:9.4pt;width:9.85pt;z-index:25166233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HZKj/XAAAACAEAAA8AAAAAAAAAAQAgAAAAIgAAAGRycy9kb3du&#10;cmV2LnhtbFBLAQIUABQAAAAIAIdO4kDPERbsAAIAAAMEAAAOAAAAAAAAAAEAIAAAACYBAABkcnMv&#10;ZTJvRG9jLnhtbFBLBQYAAAAABgAGAFkBAACYBQ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340995</wp:posOffset>
                      </wp:positionV>
                      <wp:extent cx="1346200" cy="340360"/>
                      <wp:effectExtent l="13335" t="9525" r="12065" b="12065"/>
                      <wp:wrapNone/>
                      <wp:docPr id="7" name="__TH_L20"/>
                      <wp:cNvGraphicFramePr/>
                      <a:graphic xmlns:a="http://schemas.openxmlformats.org/drawingml/2006/main">
                        <a:graphicData uri="http://schemas.microsoft.com/office/word/2010/wordprocessingShape">
                          <wps:wsp>
                            <wps:cNvCnPr>
                              <a:cxnSpLocks noChangeShapeType="1"/>
                            </wps:cNvCnPr>
                            <wps:spPr bwMode="auto">
                              <a:xfrm>
                                <a:off x="0" y="0"/>
                                <a:ext cx="1346200" cy="340360"/>
                              </a:xfrm>
                              <a:prstGeom prst="line">
                                <a:avLst/>
                              </a:prstGeom>
                              <a:noFill/>
                              <a:ln w="6350">
                                <a:solidFill>
                                  <a:srgbClr val="000000"/>
                                </a:solidFill>
                                <a:round/>
                              </a:ln>
                            </wps:spPr>
                            <wps:bodyPr/>
                          </wps:wsp>
                        </a:graphicData>
                      </a:graphic>
                    </wp:anchor>
                  </w:drawing>
                </mc:Choice>
                <mc:Fallback>
                  <w:pict>
                    <v:line id="__TH_L20" o:spid="_x0000_s1026" o:spt="20" style="position:absolute;left:0pt;margin-left:-5.15pt;margin-top:26.85pt;height:26.8pt;width:106pt;z-index:25166131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m6gAC1gAAAAoBAAAPAAAAAAAAAAEAIAAA&#10;ACIAAABkcnMvZG93bnJldi54bWxQSwECFAAUAAAACACHTuJAozzI89UBAACmAwAADgAAAAAAAAAB&#10;ACAAAAAlAQAAZHJzL2Uyb0RvYy54bWxQSwUGAAAAAAYABgBZAQAAbAUAAAAA&#10;">
                      <v:fill on="f" focussize="0,0"/>
                      <v:stroke weight="0.5pt" color="#000000" joinstyle="round"/>
                      <v:imagedata o:title=""/>
                      <o:lock v:ext="edit" aspectratio="f"/>
                    </v:line>
                  </w:pict>
                </mc:Fallback>
              </mc:AlternateContent>
            </w:r>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607695</wp:posOffset>
                      </wp:positionH>
                      <wp:positionV relativeFrom="paragraph">
                        <wp:posOffset>0</wp:posOffset>
                      </wp:positionV>
                      <wp:extent cx="673100" cy="681355"/>
                      <wp:effectExtent l="10160" t="11430" r="12065" b="12065"/>
                      <wp:wrapNone/>
                      <wp:docPr id="6" name="__TH_L19"/>
                      <wp:cNvGraphicFramePr/>
                      <a:graphic xmlns:a="http://schemas.openxmlformats.org/drawingml/2006/main">
                        <a:graphicData uri="http://schemas.microsoft.com/office/word/2010/wordprocessingShape">
                          <wps:wsp>
                            <wps:cNvCnPr>
                              <a:cxnSpLocks noChangeShapeType="1"/>
                            </wps:cNvCnPr>
                            <wps:spPr bwMode="auto">
                              <a:xfrm>
                                <a:off x="0" y="0"/>
                                <a:ext cx="673100" cy="681355"/>
                              </a:xfrm>
                              <a:prstGeom prst="line">
                                <a:avLst/>
                              </a:prstGeom>
                              <a:noFill/>
                              <a:ln w="6350">
                                <a:solidFill>
                                  <a:srgbClr val="000000"/>
                                </a:solidFill>
                                <a:round/>
                              </a:ln>
                            </wps:spPr>
                            <wps:bodyPr/>
                          </wps:wsp>
                        </a:graphicData>
                      </a:graphic>
                    </wp:anchor>
                  </w:drawing>
                </mc:Choice>
                <mc:Fallback>
                  <w:pict>
                    <v:line id="__TH_L19" o:spid="_x0000_s1026" o:spt="20" style="position:absolute;left:0pt;margin-left:47.85pt;margin-top:0pt;height:53.65pt;width:53pt;z-index:25166028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bW03TAAAABwEAAA8AAAAAAAAAAQAgAAAAIgAAAGRy&#10;cy9kb3ducmV2LnhtbFBLAQIUABQAAAAIAIdO4kCtxaMJ0QEAAKUDAAAOAAAAAAAAAAEAIAAAACIB&#10;AABkcnMvZTJvRG9jLnhtbFBLBQYAAAAABgAGAFkBAABlBQAAAAA=&#10;">
                      <v:fill on="f" focussize="0,0"/>
                      <v:stroke weight="0.5pt" color="#000000" joinstyle="round"/>
                      <v:imagedata o:title=""/>
                      <o:lock v:ext="edit" aspectratio="f"/>
                    </v:line>
                  </w:pict>
                </mc:Fallback>
              </mc:AlternateConten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8"/>
        <w:spacing w:before="0" w:after="0"/>
        <w:jc w:val="both"/>
        <w:rPr>
          <w:rFonts w:hint="eastAsia"/>
        </w:rPr>
      </w:pPr>
      <w:bookmarkStart w:id="31" w:name="_Toc110410302"/>
    </w:p>
    <w:p>
      <w:pPr>
        <w:pStyle w:val="8"/>
        <w:spacing w:before="0" w:after="0"/>
        <w:rPr>
          <w:rFonts w:hint="eastAsia"/>
        </w:rPr>
      </w:pPr>
    </w:p>
    <w:p>
      <w:pPr>
        <w:pStyle w:val="8"/>
        <w:spacing w:before="0" w:after="0"/>
      </w:pPr>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Pr>
        <w:widowControl/>
        <w:jc w:val="left"/>
      </w:pPr>
      <w:r>
        <w:br w:type="page"/>
      </w:r>
    </w:p>
    <w:p/>
    <w:p>
      <w:pPr>
        <w:pStyle w:val="6"/>
      </w:pPr>
      <w:bookmarkStart w:id="34" w:name="_Toc110410303"/>
      <w:r>
        <w:rPr>
          <w:rFonts w:hint="eastAsia"/>
        </w:rPr>
        <w:t>第七章  投标文件格式</w:t>
      </w:r>
      <w:bookmarkEnd w:id="34"/>
    </w:p>
    <w:p>
      <w:pPr>
        <w:jc w:val="center"/>
        <w:rPr>
          <w:b/>
          <w:sz w:val="52"/>
          <w:szCs w:val="52"/>
        </w:rPr>
      </w:pPr>
    </w:p>
    <w:p>
      <w:pPr>
        <w:pStyle w:val="8"/>
        <w:spacing w:line="400" w:lineRule="exact"/>
        <w:rPr>
          <w:rFonts w:ascii="仿宋" w:hAnsi="仿宋" w:eastAsia="仿宋"/>
        </w:rPr>
      </w:pPr>
      <w:bookmarkStart w:id="35" w:name="_Toc44691163"/>
      <w:bookmarkStart w:id="36" w:name="_Toc44690431"/>
      <w:bookmarkStart w:id="37" w:name="_Toc14934"/>
      <w:bookmarkStart w:id="38" w:name="_Toc110410304"/>
      <w:bookmarkStart w:id="39" w:name="_Toc44690704"/>
      <w:bookmarkStart w:id="40" w:name="_Toc44691395"/>
      <w:bookmarkStart w:id="41" w:name="_Toc11772"/>
      <w:bookmarkStart w:id="42" w:name="_Toc25194"/>
      <w:bookmarkStart w:id="43" w:name="_Toc3146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3"/>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bookmarkStart w:id="44" w:name="_投标文件格式（第一册）"/>
      <w:bookmarkEnd w:id="44"/>
      <w:bookmarkStart w:id="45" w:name="q0"/>
      <w:r>
        <w:rPr>
          <w:rFonts w:ascii="仿宋" w:hAnsi="仿宋" w:eastAsia="仿宋"/>
        </w:rPr>
        <w:br w:type="page"/>
      </w:r>
    </w:p>
    <w:p>
      <w:pPr>
        <w:pStyle w:val="8"/>
        <w:spacing w:line="400" w:lineRule="exact"/>
        <w:rPr>
          <w:rFonts w:ascii="仿宋" w:hAnsi="仿宋" w:eastAsia="仿宋"/>
        </w:rPr>
      </w:pPr>
    </w:p>
    <w:p>
      <w:pPr>
        <w:pStyle w:val="8"/>
        <w:spacing w:line="400" w:lineRule="exact"/>
        <w:rPr>
          <w:rFonts w:ascii="仿宋" w:hAnsi="仿宋" w:eastAsia="仿宋"/>
        </w:rPr>
      </w:pPr>
      <w:bookmarkStart w:id="46" w:name="_Toc110410305"/>
      <w:r>
        <w:rPr>
          <w:rFonts w:hint="eastAsia" w:ascii="仿宋" w:hAnsi="仿宋" w:eastAsia="仿宋"/>
        </w:rPr>
        <w:t>投标文件格式</w:t>
      </w:r>
      <w:bookmarkEnd w:id="46"/>
    </w:p>
    <w:bookmarkEnd w:id="45"/>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注：此表应与“法定代表人（负责人）证明书、法定代表人（负责人）授权委托书”一起密封于一信封，在递交投标文件时单独交与</w:t>
      </w:r>
      <w:r>
        <w:rPr>
          <w:rFonts w:hint="eastAsia" w:ascii="宋体" w:hAnsi="宋体"/>
          <w:b/>
          <w:bCs/>
          <w:snapToGrid w:val="0"/>
          <w:kern w:val="0"/>
          <w:szCs w:val="21"/>
        </w:rPr>
        <w:t>采购代理机构。</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8"/>
        <w:spacing w:line="400" w:lineRule="exact"/>
        <w:rPr>
          <w:rFonts w:ascii="仿宋" w:hAnsi="仿宋" w:eastAsia="仿宋"/>
        </w:rPr>
      </w:pPr>
      <w:bookmarkStart w:id="48" w:name="_Toc110410306"/>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8"/>
        <w:spacing w:line="400" w:lineRule="exact"/>
        <w:rPr>
          <w:rFonts w:ascii="仿宋" w:hAnsi="仿宋" w:eastAsia="仿宋"/>
        </w:rPr>
      </w:pPr>
      <w:bookmarkStart w:id="50" w:name="_Toc110410307"/>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9"/>
        <w:spacing w:line="360" w:lineRule="auto"/>
        <w:ind w:firstLine="424" w:firstLineChars="201"/>
        <w:rPr>
          <w:rFonts w:hAnsi="宋体"/>
          <w:b/>
          <w:szCs w:val="21"/>
        </w:rPr>
      </w:pPr>
    </w:p>
    <w:p>
      <w:pPr>
        <w:pStyle w:val="29"/>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7"/>
        <w:jc w:val="center"/>
      </w:pPr>
    </w:p>
    <w:p/>
    <w:p/>
    <w:p/>
    <w:p/>
    <w:p/>
    <w:p/>
    <w:p/>
    <w:p/>
    <w:p/>
    <w:p/>
    <w:p>
      <w:pPr>
        <w:widowControl/>
        <w:jc w:val="left"/>
      </w:pPr>
      <w:r>
        <w:br w:type="page"/>
      </w:r>
    </w:p>
    <w:p/>
    <w:p>
      <w:pPr>
        <w:pStyle w:val="10"/>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1" w:name="_Toc44690432"/>
      <w:bookmarkStart w:id="52" w:name="_Toc44691396"/>
      <w:bookmarkStart w:id="53" w:name="_Toc44690705"/>
      <w:bookmarkStart w:id="54" w:name="_Toc44691164"/>
      <w:r>
        <w:rPr>
          <w:rFonts w:hint="eastAsia" w:asciiTheme="minorEastAsia" w:hAnsiTheme="minorEastAsia" w:eastAsiaTheme="minorEastAsia"/>
          <w:sz w:val="24"/>
        </w:rPr>
        <w:t>格式1  投标人资格证明文件</w:t>
      </w:r>
      <w:bookmarkEnd w:id="51"/>
      <w:bookmarkEnd w:id="52"/>
      <w:bookmarkEnd w:id="53"/>
      <w:bookmarkEnd w:id="54"/>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bookmarkStart w:id="55" w:name="_Toc105681830"/>
      <w:bookmarkStart w:id="56" w:name="_Toc73610159"/>
      <w:r>
        <w:rPr>
          <w:rFonts w:hint="eastAsia"/>
          <w:b/>
          <w:snapToGrid w:val="0"/>
          <w:kern w:val="0"/>
          <w:sz w:val="28"/>
        </w:rPr>
        <w:t>股东构成审查表</w:t>
      </w:r>
      <w:bookmarkEnd w:id="55"/>
      <w:bookmarkEnd w:id="56"/>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color w:val="FF0000"/>
          <w:sz w:val="24"/>
        </w:rPr>
      </w:pPr>
      <w:r>
        <w:rPr>
          <w:rFonts w:hint="eastAsia" w:ascii="仿宋_GB2312" w:eastAsia="仿宋_GB2312" w:hAnsiTheme="minorEastAsia"/>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b/>
          <w:snapToGrid w:val="0"/>
          <w:sz w:val="32"/>
          <w:szCs w:val="32"/>
        </w:rPr>
      </w:pPr>
      <w:r>
        <w:rPr>
          <w:rFonts w:hint="eastAsia" w:asciiTheme="minorEastAsia" w:hAnsiTheme="minorEastAsia" w:eastAsiaTheme="minorEastAsia"/>
          <w:szCs w:val="21"/>
        </w:rPr>
        <w:t>年     月    日</w:t>
      </w:r>
      <w:r>
        <w:rPr>
          <w:b/>
          <w:snapToGrid w:val="0"/>
          <w:sz w:val="32"/>
          <w:szCs w:val="32"/>
        </w:rPr>
        <w:br w:type="page"/>
      </w:r>
    </w:p>
    <w:p>
      <w:pPr>
        <w:adjustRightInd w:val="0"/>
        <w:snapToGrid w:val="0"/>
        <w:spacing w:line="300" w:lineRule="auto"/>
        <w:jc w:val="center"/>
        <w:rPr>
          <w:b/>
          <w:snapToGrid w:val="0"/>
          <w:sz w:val="32"/>
          <w:szCs w:val="32"/>
        </w:rPr>
      </w:pPr>
    </w:p>
    <w:p>
      <w:pPr>
        <w:pStyle w:val="10"/>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78720" behindDoc="0" locked="0" layoutInCell="1" allowOverlap="1">
                <wp:simplePos x="0" y="0"/>
                <wp:positionH relativeFrom="column">
                  <wp:posOffset>3183255</wp:posOffset>
                </wp:positionH>
                <wp:positionV relativeFrom="paragraph">
                  <wp:posOffset>136525</wp:posOffset>
                </wp:positionV>
                <wp:extent cx="3086100" cy="1981200"/>
                <wp:effectExtent l="7620" t="5080" r="11430" b="1397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50.65pt;margin-top:10.75pt;height:156pt;width:243pt;z-index:25167872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Lbtl9gAAAAKAQAADwAAAAAAAAABACAAAAAiAAAAZHJzL2Rvd25yZXYueG1sUEsB&#10;AhQAFAAAAAgAh07iQN4HdFcuAgAAfgQAAA4AAAAAAAAAAQAgAAAAJwEAAGRycy9lMm9Eb2MueG1s&#10;UEsFBgAAAAAGAAYAWQEAAMcFAAAAAA==&#10;">
                <v:fill on="t" focussize="0,0"/>
                <v:stroke color="#000000" miterlimit="8"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77696" behindDoc="0" locked="0" layoutInCell="1" allowOverlap="1">
                <wp:simplePos x="0" y="0"/>
                <wp:positionH relativeFrom="column">
                  <wp:posOffset>-150495</wp:posOffset>
                </wp:positionH>
                <wp:positionV relativeFrom="paragraph">
                  <wp:posOffset>136525</wp:posOffset>
                </wp:positionV>
                <wp:extent cx="3086100" cy="1981200"/>
                <wp:effectExtent l="7620" t="5080" r="11430" b="1397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1.85pt;margin-top:10.75pt;height:156pt;width:243pt;z-index:25167769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l/X8XZAAAACgEAAA8AAAAAAAAAAQAgAAAAIgAAAGRycy9kb3ducmV2LnhtbFBL&#10;AQIUABQAAAAIAIdO4kBIA85RLgIAAH4EAAAOAAAAAAAAAAEAIAAAACgBAABkcnMvZTJvRG9jLnht&#10;bFBLBQYAAAAABgAGAFkBAADIBQAAAAA=&#10;">
                <v:fill on="t" focussize="0,0"/>
                <v:stroke color="#000000" miterlimit="8"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75648" behindDoc="0" locked="0" layoutInCell="1" allowOverlap="1">
                <wp:simplePos x="0" y="0"/>
                <wp:positionH relativeFrom="column">
                  <wp:posOffset>-131445</wp:posOffset>
                </wp:positionH>
                <wp:positionV relativeFrom="paragraph">
                  <wp:posOffset>71120</wp:posOffset>
                </wp:positionV>
                <wp:extent cx="3086100" cy="1981200"/>
                <wp:effectExtent l="7620" t="7620" r="11430" b="11430"/>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0.35pt;margin-top:5.6pt;height:156pt;width:243pt;z-index:25167564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KcuhdgAAAAKAQAADwAAAAAAAAABACAAAAAiAAAAZHJzL2Rvd25yZXYueG1sUEsB&#10;AhQAFAAAAAgAh07iQH8H5HguAgAAfgQAAA4AAAAAAAAAAQAgAAAAJwEAAGRycy9lMm9Eb2MueG1s&#10;UEsFBgAAAAAGAAYAWQEAAMcFAAAAAA==&#10;">
                <v:fill on="t" focussize="0,0"/>
                <v:stroke color="#000000" miterlimit="8"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76672" behindDoc="0" locked="0" layoutInCell="1" allowOverlap="1">
                <wp:simplePos x="0" y="0"/>
                <wp:positionH relativeFrom="column">
                  <wp:posOffset>3173730</wp:posOffset>
                </wp:positionH>
                <wp:positionV relativeFrom="paragraph">
                  <wp:posOffset>71120</wp:posOffset>
                </wp:positionV>
                <wp:extent cx="3086100" cy="1981200"/>
                <wp:effectExtent l="7620" t="7620" r="11430" b="1143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9.9pt;margin-top:5.6pt;height:156pt;width:243pt;z-index:25167667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dm/rtgAAAAKAQAADwAAAAAAAAABACAAAAAiAAAAZHJzL2Rvd25yZXYueG1sUEsB&#10;AhQAFAAAAAgAh07iQCwihD0uAgAAfgQAAA4AAAAAAAAAAQAgAAAAJwEAAGRycy9lMm9Eb2MueG1s&#10;UEsFBgAAAAAGAAYAWQEAAMcFAAAAAA==&#10;">
                <v:fill on="t" focussize="0,0"/>
                <v:stroke color="#000000" miterlimit="8"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jc w:val="left"/>
      </w:pPr>
      <w:r>
        <w:br w:type="page"/>
      </w:r>
    </w:p>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5"/>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9"/>
        <w:tabs>
          <w:tab w:val="left" w:pos="0"/>
        </w:tabs>
        <w:jc w:val="center"/>
        <w:rPr>
          <w:rFonts w:ascii="宋体" w:hAnsi="宋体" w:eastAsia="宋体"/>
        </w:rPr>
      </w:pPr>
      <w:r>
        <w:rPr>
          <w:rFonts w:hint="eastAsia" w:ascii="宋体" w:hAnsi="宋体" w:eastAsia="宋体"/>
        </w:rPr>
        <w:t>中小企业声明函</w:t>
      </w:r>
    </w:p>
    <w:p>
      <w:pPr>
        <w:pStyle w:val="24"/>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4"/>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4"/>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4"/>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4"/>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9"/>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9"/>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9"/>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706"/>
      <w:bookmarkStart w:id="59" w:name="_Toc44690433"/>
      <w:bookmarkStart w:id="60" w:name="_Toc44691165"/>
      <w:bookmarkStart w:id="61" w:name="_Toc44691397"/>
      <w:r>
        <w:rPr>
          <w:rFonts w:hint="eastAsia" w:asciiTheme="minorEastAsia" w:hAnsiTheme="minorEastAsia" w:eastAsiaTheme="minorEastAsia"/>
          <w:sz w:val="24"/>
        </w:rPr>
        <w:t>格式5  开标一览表</w:t>
      </w:r>
      <w:bookmarkEnd w:id="58"/>
      <w:bookmarkEnd w:id="59"/>
      <w:bookmarkEnd w:id="60"/>
      <w:bookmarkEnd w:id="61"/>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老年综合评估信息化系统</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31"/>
        <w:adjustRightInd w:val="0"/>
        <w:snapToGrid w:val="0"/>
        <w:spacing w:line="312" w:lineRule="auto"/>
        <w:jc w:val="center"/>
        <w:rPr>
          <w:rFonts w:ascii="Times New Roman" w:hAnsi="Times New Roman"/>
          <w:b/>
          <w:sz w:val="28"/>
        </w:rPr>
      </w:pPr>
    </w:p>
    <w:p/>
    <w:p/>
    <w:p/>
    <w:p/>
    <w:p>
      <w:pPr>
        <w:widowControl/>
        <w:jc w:val="left"/>
      </w:pPr>
      <w:r>
        <w:br w:type="page"/>
      </w:r>
    </w:p>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2" w:name="_Toc44690707"/>
      <w:bookmarkStart w:id="63" w:name="_Toc44691398"/>
      <w:bookmarkStart w:id="64" w:name="_Toc44690434"/>
      <w:bookmarkStart w:id="65" w:name="_Toc44691166"/>
      <w:r>
        <w:rPr>
          <w:rFonts w:hint="eastAsia" w:asciiTheme="minorEastAsia" w:hAnsiTheme="minorEastAsia" w:eastAsiaTheme="minorEastAsia"/>
          <w:sz w:val="24"/>
        </w:rPr>
        <w:t>格式6  报价表</w:t>
      </w:r>
      <w:bookmarkEnd w:id="62"/>
      <w:bookmarkEnd w:id="63"/>
      <w:bookmarkEnd w:id="64"/>
      <w:bookmarkEnd w:id="65"/>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2"/>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2"/>
        <w:tblW w:w="105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1"/>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2"/>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2"/>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Toc44690435"/>
      <w:bookmarkStart w:id="67" w:name="_Toc44691167"/>
      <w:bookmarkStart w:id="68" w:name="_Toc44691399"/>
      <w:bookmarkStart w:id="69" w:name="_Toc44690708"/>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技术规格</w:t>
      </w:r>
      <w:bookmarkEnd w:id="66"/>
      <w:bookmarkEnd w:id="67"/>
      <w:bookmarkEnd w:id="68"/>
      <w:bookmarkEnd w:id="69"/>
    </w:p>
    <w:p>
      <w:pPr>
        <w:pStyle w:val="11"/>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hint="eastAsia" w:ascii="宋体" w:hAnsi="宋体"/>
        </w:rPr>
      </w:pPr>
      <w:r>
        <w:rPr>
          <w:rFonts w:hint="eastAsia" w:ascii="宋体" w:hAnsi="宋体"/>
        </w:rPr>
        <w:t>5、投标产品的说明书等</w:t>
      </w:r>
    </w:p>
    <w:p>
      <w:pPr>
        <w:spacing w:line="360" w:lineRule="auto"/>
        <w:ind w:left="420"/>
        <w:rPr>
          <w:rFonts w:hint="eastAsia" w:ascii="宋体" w:hAnsi="宋体"/>
        </w:rPr>
      </w:pPr>
      <w:r>
        <w:rPr>
          <w:rFonts w:ascii="宋体" w:hAnsi="宋体"/>
        </w:rPr>
        <w:t>6</w:t>
      </w:r>
      <w:r>
        <w:rPr>
          <w:rFonts w:hint="eastAsia" w:ascii="宋体" w:hAnsi="宋体"/>
        </w:rPr>
        <w:t>、技术方案设计</w:t>
      </w:r>
    </w:p>
    <w:p>
      <w:pPr>
        <w:spacing w:line="360" w:lineRule="auto"/>
        <w:ind w:left="420"/>
        <w:rPr>
          <w:rFonts w:hint="eastAsia" w:ascii="宋体" w:hAnsi="宋体"/>
        </w:rPr>
      </w:pPr>
      <w:r>
        <w:rPr>
          <w:rFonts w:ascii="宋体" w:hAnsi="宋体"/>
        </w:rPr>
        <w:t>7</w:t>
      </w:r>
      <w:r>
        <w:rPr>
          <w:rFonts w:hint="eastAsia" w:ascii="宋体" w:hAnsi="宋体"/>
        </w:rPr>
        <w:t>、技术保障措施</w:t>
      </w:r>
    </w:p>
    <w:p>
      <w:pPr>
        <w:spacing w:line="360" w:lineRule="auto"/>
        <w:ind w:left="420"/>
        <w:rPr>
          <w:rFonts w:ascii="宋体" w:hAnsi="宋体"/>
        </w:rPr>
      </w:pPr>
      <w:r>
        <w:rPr>
          <w:rFonts w:ascii="宋体" w:hAnsi="宋体"/>
        </w:rPr>
        <w:t>8</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31"/>
        <w:adjustRightInd w:val="0"/>
        <w:snapToGrid w:val="0"/>
        <w:spacing w:line="312" w:lineRule="auto"/>
        <w:ind w:left="0" w:firstLine="0"/>
        <w:jc w:val="left"/>
        <w:rPr>
          <w:rFonts w:hint="eastAsia" w:ascii="Times New Roman" w:hAnsi="Times New Roman"/>
          <w:b/>
          <w:sz w:val="21"/>
          <w:szCs w:val="21"/>
        </w:rPr>
      </w:pP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7"/>
        <w:spacing w:before="0"/>
        <w:rPr>
          <w:rFonts w:ascii="宋体" w:hAnsi="宋体"/>
          <w:sz w:val="28"/>
        </w:rPr>
      </w:pPr>
    </w:p>
    <w:p/>
    <w:p/>
    <w:p/>
    <w:p/>
    <w:p/>
    <w:p/>
    <w:p/>
    <w:p/>
    <w:p>
      <w:pPr>
        <w:widowControl/>
        <w:jc w:val="left"/>
        <w:rPr>
          <w:rFonts w:asciiTheme="minorEastAsia" w:hAnsiTheme="minorEastAsia" w:eastAsiaTheme="minorEastAsia"/>
          <w:b/>
          <w:sz w:val="24"/>
        </w:rPr>
      </w:pPr>
      <w:bookmarkStart w:id="70" w:name="_Toc44691400"/>
      <w:bookmarkStart w:id="71" w:name="_Toc44690709"/>
      <w:bookmarkStart w:id="72" w:name="_Toc44690436"/>
      <w:bookmarkStart w:id="73" w:name="_Toc44691168"/>
      <w:r>
        <w:rPr>
          <w:rFonts w:asciiTheme="minorEastAsia" w:hAnsiTheme="minorEastAsia" w:eastAsiaTheme="minorEastAsia"/>
          <w:sz w:val="24"/>
        </w:rPr>
        <w:br w:type="page"/>
      </w: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70"/>
      <w:bookmarkEnd w:id="71"/>
      <w:bookmarkEnd w:id="72"/>
      <w:bookmarkEnd w:id="73"/>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4" w:name="_格式2__投标保证金凭证"/>
      <w:bookmarkEnd w:id="74"/>
      <w:bookmarkStart w:id="75" w:name="q17"/>
      <w:bookmarkEnd w:id="75"/>
      <w:bookmarkStart w:id="76" w:name="_格式3__"/>
      <w:bookmarkEnd w:id="76"/>
      <w:bookmarkStart w:id="77" w:name="q16"/>
      <w:bookmarkEnd w:id="77"/>
      <w:bookmarkStart w:id="78" w:name="_格式4__"/>
      <w:bookmarkEnd w:id="78"/>
      <w:bookmarkStart w:id="79" w:name="_格式5__"/>
      <w:bookmarkEnd w:id="79"/>
      <w:bookmarkStart w:id="80" w:name="q15"/>
      <w:bookmarkEnd w:id="80"/>
      <w:r>
        <w:rPr>
          <w:rFonts w:asciiTheme="minorEastAsia" w:hAnsiTheme="minorEastAsia" w:eastAsiaTheme="minorEastAsia"/>
          <w:sz w:val="24"/>
        </w:rPr>
        <w:tab/>
      </w:r>
      <w:bookmarkStart w:id="81" w:name="_Toc44691169"/>
      <w:bookmarkStart w:id="82" w:name="_Toc44690437"/>
      <w:bookmarkStart w:id="83" w:name="_Toc44691401"/>
      <w:bookmarkStart w:id="84" w:name="_Toc44690710"/>
      <w:r>
        <w:rPr>
          <w:rFonts w:hint="eastAsia" w:asciiTheme="minorEastAsia" w:hAnsiTheme="minorEastAsia" w:eastAsiaTheme="minorEastAsia"/>
          <w:sz w:val="24"/>
        </w:rPr>
        <w:t>格式10  投标人情况介绍</w:t>
      </w:r>
      <w:bookmarkEnd w:id="81"/>
      <w:bookmarkEnd w:id="82"/>
      <w:bookmarkEnd w:id="83"/>
      <w:bookmarkEnd w:id="84"/>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85" w:name="_格式7__投标人资格声明"/>
      <w:bookmarkEnd w:id="85"/>
      <w:bookmarkStart w:id="86" w:name="q40"/>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6"/>
    <w:p>
      <w:pPr>
        <w:spacing w:line="360" w:lineRule="auto"/>
        <w:jc w:val="center"/>
      </w:pPr>
    </w:p>
    <w:p>
      <w:pPr>
        <w:snapToGrid w:val="0"/>
        <w:spacing w:line="360" w:lineRule="auto"/>
        <w:jc w:val="center"/>
        <w:rPr>
          <w:b/>
        </w:rPr>
      </w:pPr>
      <w:r>
        <w:rPr>
          <w:rFonts w:hint="eastAsia"/>
          <w:b/>
        </w:rPr>
        <w:t>技术规格偏离表</w:t>
      </w:r>
    </w:p>
    <w:tbl>
      <w:tblPr>
        <w:tblStyle w:val="5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10"/>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6"/>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6"/>
        <w:spacing w:before="0" w:after="0"/>
      </w:pPr>
      <w:bookmarkStart w:id="87" w:name="_Toc110410308"/>
      <w:r>
        <w:rPr>
          <w:rFonts w:hint="eastAsia"/>
        </w:rPr>
        <w:t>第八章  合同条款</w:t>
      </w:r>
      <w:bookmarkEnd w:id="87"/>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9"/>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9"/>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6"/>
      </w:pPr>
      <w:bookmarkStart w:id="88" w:name="_Toc110410309"/>
      <w:r>
        <w:rPr>
          <w:rFonts w:hint="eastAsia"/>
        </w:rPr>
        <w:t>第九章  附件</w:t>
      </w:r>
      <w:bookmarkEnd w:id="88"/>
    </w:p>
    <w:p>
      <w:pPr>
        <w:pStyle w:val="8"/>
        <w:spacing w:before="0" w:after="0"/>
      </w:pPr>
      <w:bookmarkStart w:id="89" w:name="_Toc110410310"/>
      <w:r>
        <w:rPr>
          <w:rFonts w:hint="eastAsia"/>
        </w:rPr>
        <w:t>一、财政部 工业和信息化部关于印发《政府采购促进中小企业发展管理办法》的通知</w:t>
      </w:r>
      <w:bookmarkEnd w:id="89"/>
    </w:p>
    <w:p>
      <w:pPr>
        <w:pStyle w:val="4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8"/>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8"/>
        <w:spacing w:before="0" w:after="0"/>
      </w:pPr>
      <w:bookmarkStart w:id="90" w:name="_Toc110410311"/>
      <w:r>
        <w:rPr>
          <w:rFonts w:hint="eastAsia"/>
        </w:rPr>
        <w:t>二、关于印发中小企业划型标准规定的通知</w:t>
      </w:r>
      <w:bookmarkEnd w:id="90"/>
    </w:p>
    <w:p>
      <w:pPr>
        <w:pStyle w:val="4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8"/>
        <w:shd w:val="clear" w:color="auto" w:fill="FFFFFF"/>
        <w:spacing w:line="360" w:lineRule="auto"/>
        <w:jc w:val="right"/>
        <w:rPr>
          <w:rFonts w:asciiTheme="minorEastAsia" w:hAnsiTheme="minorEastAsia" w:eastAsiaTheme="minorEastAsia"/>
          <w:color w:val="000000"/>
          <w:sz w:val="21"/>
          <w:szCs w:val="21"/>
        </w:rPr>
      </w:pPr>
    </w:p>
    <w:p>
      <w:pPr>
        <w:pStyle w:val="4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工业和信息化部　国家统计局</w:t>
      </w:r>
    </w:p>
    <w:p>
      <w:pPr>
        <w:pStyle w:val="4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国家发展和改革委员会　财政部</w:t>
      </w:r>
    </w:p>
    <w:p>
      <w:pPr>
        <w:pStyle w:val="4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二○一一年六月十八日</w:t>
      </w:r>
    </w:p>
    <w:p>
      <w:pPr>
        <w:pStyle w:val="48"/>
        <w:shd w:val="clear" w:color="auto" w:fill="FFFFFF"/>
        <w:spacing w:line="360" w:lineRule="auto"/>
        <w:jc w:val="center"/>
        <w:rPr>
          <w:rFonts w:asciiTheme="minorEastAsia" w:hAnsiTheme="minorEastAsia" w:eastAsiaTheme="minorEastAsia"/>
          <w:color w:val="000000"/>
          <w:sz w:val="21"/>
          <w:szCs w:val="21"/>
        </w:rPr>
      </w:pPr>
      <w:r>
        <w:rPr>
          <w:rStyle w:val="55"/>
          <w:rFonts w:hint="eastAsia" w:asciiTheme="minorEastAsia" w:hAnsiTheme="minorEastAsia" w:eastAsiaTheme="minorEastAsia"/>
          <w:color w:val="000000"/>
          <w:sz w:val="21"/>
          <w:szCs w:val="21"/>
        </w:rPr>
        <w:t>中小企业划型标准规定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四、各行业划型标准为：</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五、企业类型的划分以统计部门的统计数据为依据。</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九、本规定由工业和信息化部、国家统计局会同有关部门负责解释。</w:t>
      </w:r>
    </w:p>
    <w:p>
      <w:pPr>
        <w:pStyle w:val="4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8"/>
        <w:shd w:val="clear" w:color="auto" w:fill="FFFFFF"/>
        <w:spacing w:line="360" w:lineRule="auto"/>
        <w:rPr>
          <w:rFonts w:asciiTheme="minorEastAsia" w:hAnsiTheme="minorEastAsia" w:eastAsiaTheme="minorEastAsia"/>
          <w:color w:val="000000"/>
          <w:sz w:val="21"/>
          <w:szCs w:val="21"/>
        </w:rPr>
      </w:pPr>
    </w:p>
    <w:p>
      <w:pPr>
        <w:pStyle w:val="8"/>
        <w:spacing w:before="0" w:after="0"/>
      </w:pPr>
      <w:bookmarkStart w:id="91" w:name="_Toc110410312"/>
      <w:r>
        <w:rPr>
          <w:rFonts w:hint="eastAsia"/>
        </w:rPr>
        <w:t>三、</w:t>
      </w:r>
      <w:r>
        <w:t>国家统计局关于印发《统计上大中小微型企业划分办法 （2017）》的通知</w:t>
      </w:r>
      <w:bookmarkEnd w:id="91"/>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8"/>
        <w:spacing w:before="0" w:after="0"/>
      </w:pPr>
      <w:bookmarkStart w:id="92" w:name="_Toc110410313"/>
      <w:r>
        <w:rPr>
          <w:rFonts w:hint="eastAsia"/>
        </w:rPr>
        <w:t>四、</w:t>
      </w:r>
      <w:r>
        <w:t>财政部 民政部 中国残疾人联合会关于促进残疾人就业 政府采购政策的通知</w:t>
      </w:r>
      <w:bookmarkEnd w:id="92"/>
      <w:r>
        <w:t xml:space="preserve"> </w:t>
      </w:r>
    </w:p>
    <w:p>
      <w:pPr>
        <w:pStyle w:val="48"/>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方正小标宋简体">
    <w:panose1 w:val="02010601030101010101"/>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rPr>
        <w:rStyle w:val="56"/>
      </w:rPr>
      <w:fldChar w:fldCharType="begin"/>
    </w:r>
    <w:r>
      <w:rPr>
        <w:rStyle w:val="56"/>
      </w:rPr>
      <w:instrText xml:space="preserve">PAGE  </w:instrText>
    </w:r>
    <w:r>
      <w:rPr>
        <w:rStyle w:val="56"/>
      </w:rPr>
      <w:fldChar w:fldCharType="separate"/>
    </w:r>
    <w:r>
      <w:rPr>
        <w:rStyle w:val="56"/>
      </w:rPr>
      <w:t>19</w:t>
    </w:r>
    <w:r>
      <w:rPr>
        <w:rStyle w:val="56"/>
      </w:rPr>
      <w:fldChar w:fldCharType="end"/>
    </w:r>
  </w:p>
  <w:p>
    <w:pPr>
      <w:pStyle w:val="34"/>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项目名称：老年综合评估信息化系统                                                  项目编号：SZZZ2022-QA0224</w:t>
    </w:r>
  </w:p>
  <w:p>
    <w:pPr>
      <w:pStyle w:val="35"/>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B1C08"/>
    <w:multiLevelType w:val="singleLevel"/>
    <w:tmpl w:val="F56B1C08"/>
    <w:lvl w:ilvl="0" w:tentative="0">
      <w:start w:val="1"/>
      <w:numFmt w:val="chineseCounting"/>
      <w:suff w:val="nothing"/>
      <w:lvlText w:val="%1、"/>
      <w:lvlJc w:val="left"/>
      <w:pPr>
        <w:ind w:left="0" w:firstLine="420"/>
      </w:pPr>
      <w:rPr>
        <w:rFonts w:hint="eastAsia"/>
      </w:rPr>
    </w:lvl>
  </w:abstractNum>
  <w:abstractNum w:abstractNumId="1">
    <w:nsid w:val="00000002"/>
    <w:multiLevelType w:val="multilevel"/>
    <w:tmpl w:val="00000002"/>
    <w:lvl w:ilvl="0" w:tentative="0">
      <w:start w:val="1"/>
      <w:numFmt w:val="decimal"/>
      <w:pStyle w:val="20"/>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10"/>
      <w:lvlText w:val="%5)"/>
      <w:lvlJc w:val="left"/>
      <w:pPr>
        <w:tabs>
          <w:tab w:val="left" w:pos="2111"/>
        </w:tabs>
        <w:ind w:left="2111" w:hanging="420"/>
      </w:pPr>
    </w:lvl>
    <w:lvl w:ilvl="5" w:tentative="0">
      <w:start w:val="1"/>
      <w:numFmt w:val="lowerRoman"/>
      <w:pStyle w:val="12"/>
      <w:lvlText w:val="%6."/>
      <w:lvlJc w:val="right"/>
      <w:pPr>
        <w:tabs>
          <w:tab w:val="left" w:pos="2531"/>
        </w:tabs>
        <w:ind w:left="2531" w:hanging="420"/>
      </w:pPr>
    </w:lvl>
    <w:lvl w:ilvl="6" w:tentative="0">
      <w:start w:val="1"/>
      <w:numFmt w:val="decimal"/>
      <w:pStyle w:val="13"/>
      <w:lvlText w:val="%7."/>
      <w:lvlJc w:val="left"/>
      <w:pPr>
        <w:tabs>
          <w:tab w:val="left" w:pos="2951"/>
        </w:tabs>
        <w:ind w:left="2951" w:hanging="420"/>
      </w:pPr>
    </w:lvl>
    <w:lvl w:ilvl="7" w:tentative="0">
      <w:start w:val="1"/>
      <w:numFmt w:val="lowerLetter"/>
      <w:pStyle w:val="14"/>
      <w:lvlText w:val="%8)"/>
      <w:lvlJc w:val="left"/>
      <w:pPr>
        <w:tabs>
          <w:tab w:val="left" w:pos="3371"/>
        </w:tabs>
        <w:ind w:left="3371" w:hanging="420"/>
      </w:pPr>
    </w:lvl>
    <w:lvl w:ilvl="8" w:tentative="0">
      <w:start w:val="1"/>
      <w:numFmt w:val="lowerRoman"/>
      <w:pStyle w:val="15"/>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9"/>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6"/>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ZGVkYTNiOTU2NTQ1Nzc0OTI5NDMzOTUxZDg0ZWIifQ=="/>
  </w:docVars>
  <w:rsids>
    <w:rsidRoot w:val="00172A27"/>
    <w:rsid w:val="0000124D"/>
    <w:rsid w:val="0000134D"/>
    <w:rsid w:val="00001635"/>
    <w:rsid w:val="00002189"/>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1EBA"/>
    <w:rsid w:val="00012A6E"/>
    <w:rsid w:val="00012BC4"/>
    <w:rsid w:val="00012F81"/>
    <w:rsid w:val="00013127"/>
    <w:rsid w:val="00014515"/>
    <w:rsid w:val="00014625"/>
    <w:rsid w:val="000155DA"/>
    <w:rsid w:val="00015940"/>
    <w:rsid w:val="00015AF5"/>
    <w:rsid w:val="00016458"/>
    <w:rsid w:val="000165EF"/>
    <w:rsid w:val="00016FC3"/>
    <w:rsid w:val="000208F8"/>
    <w:rsid w:val="00021304"/>
    <w:rsid w:val="0002197F"/>
    <w:rsid w:val="00022C27"/>
    <w:rsid w:val="00022F4F"/>
    <w:rsid w:val="00022FA9"/>
    <w:rsid w:val="0002316E"/>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15F"/>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BB0"/>
    <w:rsid w:val="000C7685"/>
    <w:rsid w:val="000D0C86"/>
    <w:rsid w:val="000D0C91"/>
    <w:rsid w:val="000D11F6"/>
    <w:rsid w:val="000D1EAF"/>
    <w:rsid w:val="000D2056"/>
    <w:rsid w:val="000D2C8E"/>
    <w:rsid w:val="000D2CA8"/>
    <w:rsid w:val="000D3909"/>
    <w:rsid w:val="000D39D7"/>
    <w:rsid w:val="000D3DAF"/>
    <w:rsid w:val="000D4816"/>
    <w:rsid w:val="000D48D5"/>
    <w:rsid w:val="000D5E0E"/>
    <w:rsid w:val="000D5E7D"/>
    <w:rsid w:val="000D6088"/>
    <w:rsid w:val="000D6A60"/>
    <w:rsid w:val="000D6CFF"/>
    <w:rsid w:val="000D6D74"/>
    <w:rsid w:val="000D6F21"/>
    <w:rsid w:val="000D7803"/>
    <w:rsid w:val="000D7D8E"/>
    <w:rsid w:val="000D7DC6"/>
    <w:rsid w:val="000E1550"/>
    <w:rsid w:val="000E18B0"/>
    <w:rsid w:val="000E1BD5"/>
    <w:rsid w:val="000E1C6E"/>
    <w:rsid w:val="000E214A"/>
    <w:rsid w:val="000E21D9"/>
    <w:rsid w:val="000E2823"/>
    <w:rsid w:val="000E3219"/>
    <w:rsid w:val="000E321B"/>
    <w:rsid w:val="000E3D76"/>
    <w:rsid w:val="000E52FA"/>
    <w:rsid w:val="000E6437"/>
    <w:rsid w:val="000E671E"/>
    <w:rsid w:val="000F010A"/>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4386"/>
    <w:rsid w:val="0011449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74C"/>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4312"/>
    <w:rsid w:val="00175A5E"/>
    <w:rsid w:val="00175B46"/>
    <w:rsid w:val="00177212"/>
    <w:rsid w:val="001774D4"/>
    <w:rsid w:val="00177549"/>
    <w:rsid w:val="00177744"/>
    <w:rsid w:val="00177780"/>
    <w:rsid w:val="001778BE"/>
    <w:rsid w:val="00177F89"/>
    <w:rsid w:val="00180B0D"/>
    <w:rsid w:val="00181389"/>
    <w:rsid w:val="00181BE7"/>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B57"/>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630A"/>
    <w:rsid w:val="001E67F4"/>
    <w:rsid w:val="001E6DAE"/>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2F8F"/>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8"/>
    <w:rsid w:val="002477EA"/>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3D6C"/>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89C"/>
    <w:rsid w:val="00271B39"/>
    <w:rsid w:val="00271CD9"/>
    <w:rsid w:val="0027313B"/>
    <w:rsid w:val="002731CD"/>
    <w:rsid w:val="00273CF6"/>
    <w:rsid w:val="00273F3E"/>
    <w:rsid w:val="00274F13"/>
    <w:rsid w:val="002752E7"/>
    <w:rsid w:val="00275388"/>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3F7"/>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593F"/>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DC"/>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27FB"/>
    <w:rsid w:val="003D35B0"/>
    <w:rsid w:val="003D3FDB"/>
    <w:rsid w:val="003D482D"/>
    <w:rsid w:val="003D53DC"/>
    <w:rsid w:val="003D589A"/>
    <w:rsid w:val="003D5A2F"/>
    <w:rsid w:val="003D647B"/>
    <w:rsid w:val="003D6745"/>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22F"/>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BEE"/>
    <w:rsid w:val="00423C36"/>
    <w:rsid w:val="004242E7"/>
    <w:rsid w:val="00424697"/>
    <w:rsid w:val="00424B8A"/>
    <w:rsid w:val="00424DD1"/>
    <w:rsid w:val="00425A62"/>
    <w:rsid w:val="00426433"/>
    <w:rsid w:val="00426B44"/>
    <w:rsid w:val="004274C8"/>
    <w:rsid w:val="004274CF"/>
    <w:rsid w:val="00427BF1"/>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7B7"/>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5FF"/>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EAD"/>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577"/>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E95"/>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0AEC"/>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504"/>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1EE1"/>
    <w:rsid w:val="00613239"/>
    <w:rsid w:val="00614D9F"/>
    <w:rsid w:val="0061600A"/>
    <w:rsid w:val="00616417"/>
    <w:rsid w:val="0061657A"/>
    <w:rsid w:val="00616BA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5AE"/>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0E28"/>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257"/>
    <w:rsid w:val="006953B6"/>
    <w:rsid w:val="006959D4"/>
    <w:rsid w:val="00695AB8"/>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C04"/>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5D4"/>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357"/>
    <w:rsid w:val="00747C97"/>
    <w:rsid w:val="00747CEF"/>
    <w:rsid w:val="0075028B"/>
    <w:rsid w:val="00750D85"/>
    <w:rsid w:val="00750D90"/>
    <w:rsid w:val="00751041"/>
    <w:rsid w:val="00751196"/>
    <w:rsid w:val="00751BC7"/>
    <w:rsid w:val="00751C20"/>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CB8"/>
    <w:rsid w:val="00776F7B"/>
    <w:rsid w:val="00777322"/>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5F2"/>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EBF"/>
    <w:rsid w:val="007E2161"/>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2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27E5D"/>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709"/>
    <w:rsid w:val="00855CB8"/>
    <w:rsid w:val="00856618"/>
    <w:rsid w:val="008566CA"/>
    <w:rsid w:val="008568C5"/>
    <w:rsid w:val="0085699B"/>
    <w:rsid w:val="00856B2E"/>
    <w:rsid w:val="0085704F"/>
    <w:rsid w:val="008576E8"/>
    <w:rsid w:val="00862342"/>
    <w:rsid w:val="00862708"/>
    <w:rsid w:val="00862D18"/>
    <w:rsid w:val="00862E85"/>
    <w:rsid w:val="008632E4"/>
    <w:rsid w:val="008638FB"/>
    <w:rsid w:val="00864BA7"/>
    <w:rsid w:val="00864FA0"/>
    <w:rsid w:val="00864FD5"/>
    <w:rsid w:val="00867216"/>
    <w:rsid w:val="0086743B"/>
    <w:rsid w:val="0087014B"/>
    <w:rsid w:val="00870347"/>
    <w:rsid w:val="0087052B"/>
    <w:rsid w:val="008708C1"/>
    <w:rsid w:val="00870CEF"/>
    <w:rsid w:val="0087154B"/>
    <w:rsid w:val="00871579"/>
    <w:rsid w:val="00871B86"/>
    <w:rsid w:val="00872962"/>
    <w:rsid w:val="008729E8"/>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9BA"/>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47F"/>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35B0"/>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6487"/>
    <w:rsid w:val="0097700C"/>
    <w:rsid w:val="009773D6"/>
    <w:rsid w:val="00977A8A"/>
    <w:rsid w:val="00977B83"/>
    <w:rsid w:val="00977C0C"/>
    <w:rsid w:val="009808B3"/>
    <w:rsid w:val="0098149C"/>
    <w:rsid w:val="00982626"/>
    <w:rsid w:val="00982DCA"/>
    <w:rsid w:val="00983210"/>
    <w:rsid w:val="009833D1"/>
    <w:rsid w:val="009833FA"/>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29E4"/>
    <w:rsid w:val="00A232E0"/>
    <w:rsid w:val="00A23A82"/>
    <w:rsid w:val="00A241F9"/>
    <w:rsid w:val="00A243CF"/>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A95"/>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1CE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69EB"/>
    <w:rsid w:val="00AC7B80"/>
    <w:rsid w:val="00AD0A32"/>
    <w:rsid w:val="00AD1442"/>
    <w:rsid w:val="00AD14AB"/>
    <w:rsid w:val="00AD1B73"/>
    <w:rsid w:val="00AD20ED"/>
    <w:rsid w:val="00AD20FA"/>
    <w:rsid w:val="00AD2CBD"/>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6E14"/>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0A5"/>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89D"/>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0BE1"/>
    <w:rsid w:val="00B61614"/>
    <w:rsid w:val="00B61672"/>
    <w:rsid w:val="00B61B8F"/>
    <w:rsid w:val="00B61EEB"/>
    <w:rsid w:val="00B62488"/>
    <w:rsid w:val="00B628A4"/>
    <w:rsid w:val="00B62D2F"/>
    <w:rsid w:val="00B6329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8FD"/>
    <w:rsid w:val="00B72FA4"/>
    <w:rsid w:val="00B73290"/>
    <w:rsid w:val="00B7374F"/>
    <w:rsid w:val="00B74500"/>
    <w:rsid w:val="00B74AFB"/>
    <w:rsid w:val="00B7547E"/>
    <w:rsid w:val="00B7548B"/>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49"/>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616"/>
    <w:rsid w:val="00BB26EB"/>
    <w:rsid w:val="00BB2C15"/>
    <w:rsid w:val="00BB37AA"/>
    <w:rsid w:val="00BB3C8A"/>
    <w:rsid w:val="00BB4049"/>
    <w:rsid w:val="00BB5E0A"/>
    <w:rsid w:val="00BB7AF7"/>
    <w:rsid w:val="00BC00C1"/>
    <w:rsid w:val="00BC0230"/>
    <w:rsid w:val="00BC0688"/>
    <w:rsid w:val="00BC11B0"/>
    <w:rsid w:val="00BC1478"/>
    <w:rsid w:val="00BC1BFE"/>
    <w:rsid w:val="00BC1EF2"/>
    <w:rsid w:val="00BC2019"/>
    <w:rsid w:val="00BC2264"/>
    <w:rsid w:val="00BC2C3A"/>
    <w:rsid w:val="00BC358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3BA"/>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1E8E"/>
    <w:rsid w:val="00CA2400"/>
    <w:rsid w:val="00CA24A1"/>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0261"/>
    <w:rsid w:val="00CD131C"/>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ED5"/>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5B"/>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0C23"/>
    <w:rsid w:val="00D2190E"/>
    <w:rsid w:val="00D21A55"/>
    <w:rsid w:val="00D22651"/>
    <w:rsid w:val="00D22ED5"/>
    <w:rsid w:val="00D23AD0"/>
    <w:rsid w:val="00D23B0A"/>
    <w:rsid w:val="00D23E23"/>
    <w:rsid w:val="00D24239"/>
    <w:rsid w:val="00D24BAF"/>
    <w:rsid w:val="00D24C26"/>
    <w:rsid w:val="00D255C6"/>
    <w:rsid w:val="00D25F2F"/>
    <w:rsid w:val="00D2620A"/>
    <w:rsid w:val="00D27091"/>
    <w:rsid w:val="00D277EE"/>
    <w:rsid w:val="00D27D59"/>
    <w:rsid w:val="00D309DD"/>
    <w:rsid w:val="00D30C66"/>
    <w:rsid w:val="00D30ECB"/>
    <w:rsid w:val="00D31163"/>
    <w:rsid w:val="00D311DC"/>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26FD"/>
    <w:rsid w:val="00D72C26"/>
    <w:rsid w:val="00D73242"/>
    <w:rsid w:val="00D73288"/>
    <w:rsid w:val="00D73686"/>
    <w:rsid w:val="00D7371E"/>
    <w:rsid w:val="00D741DB"/>
    <w:rsid w:val="00D742A0"/>
    <w:rsid w:val="00D74E88"/>
    <w:rsid w:val="00D75216"/>
    <w:rsid w:val="00D756A7"/>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5B7"/>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C8"/>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0362"/>
    <w:rsid w:val="00E71086"/>
    <w:rsid w:val="00E71B32"/>
    <w:rsid w:val="00E72079"/>
    <w:rsid w:val="00E72E8F"/>
    <w:rsid w:val="00E72F98"/>
    <w:rsid w:val="00E736AA"/>
    <w:rsid w:val="00E7391F"/>
    <w:rsid w:val="00E745BB"/>
    <w:rsid w:val="00E748D7"/>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67E"/>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51D"/>
    <w:rsid w:val="00EB1072"/>
    <w:rsid w:val="00EB1A14"/>
    <w:rsid w:val="00EB1A97"/>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62F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3ED"/>
    <w:rsid w:val="00F9196A"/>
    <w:rsid w:val="00F92621"/>
    <w:rsid w:val="00F92790"/>
    <w:rsid w:val="00F92920"/>
    <w:rsid w:val="00F92ACA"/>
    <w:rsid w:val="00F92E7C"/>
    <w:rsid w:val="00F92EAB"/>
    <w:rsid w:val="00F93083"/>
    <w:rsid w:val="00F930D9"/>
    <w:rsid w:val="00F93C42"/>
    <w:rsid w:val="00F93EEE"/>
    <w:rsid w:val="00F93FDA"/>
    <w:rsid w:val="00F954CA"/>
    <w:rsid w:val="00F96280"/>
    <w:rsid w:val="00F96E84"/>
    <w:rsid w:val="00F97914"/>
    <w:rsid w:val="00FA01D4"/>
    <w:rsid w:val="00FA084F"/>
    <w:rsid w:val="00FA2BD7"/>
    <w:rsid w:val="00FA30F5"/>
    <w:rsid w:val="00FA3BAD"/>
    <w:rsid w:val="00FA3F06"/>
    <w:rsid w:val="00FA416A"/>
    <w:rsid w:val="00FA4744"/>
    <w:rsid w:val="00FA4872"/>
    <w:rsid w:val="00FA4B78"/>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3F32"/>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0F3"/>
    <w:rsid w:val="00FF7533"/>
    <w:rsid w:val="00FF7BA6"/>
    <w:rsid w:val="00FF7C38"/>
    <w:rsid w:val="01F0299B"/>
    <w:rsid w:val="026E4F91"/>
    <w:rsid w:val="02951D9B"/>
    <w:rsid w:val="041D095D"/>
    <w:rsid w:val="05C87DB9"/>
    <w:rsid w:val="07F97754"/>
    <w:rsid w:val="08D746F9"/>
    <w:rsid w:val="0961739E"/>
    <w:rsid w:val="098E6083"/>
    <w:rsid w:val="0A20111D"/>
    <w:rsid w:val="0B205B2B"/>
    <w:rsid w:val="0B782559"/>
    <w:rsid w:val="0D566BC9"/>
    <w:rsid w:val="0D9870F5"/>
    <w:rsid w:val="0E180322"/>
    <w:rsid w:val="0E8C4995"/>
    <w:rsid w:val="0EF00331"/>
    <w:rsid w:val="0EF27BFB"/>
    <w:rsid w:val="0FBC50EF"/>
    <w:rsid w:val="108160EB"/>
    <w:rsid w:val="115F3FD7"/>
    <w:rsid w:val="11A259DD"/>
    <w:rsid w:val="11A72B06"/>
    <w:rsid w:val="120474A0"/>
    <w:rsid w:val="123D6042"/>
    <w:rsid w:val="13102ABE"/>
    <w:rsid w:val="167D280D"/>
    <w:rsid w:val="167F4FBB"/>
    <w:rsid w:val="16C16079"/>
    <w:rsid w:val="17047766"/>
    <w:rsid w:val="17935895"/>
    <w:rsid w:val="17F52C18"/>
    <w:rsid w:val="184530EF"/>
    <w:rsid w:val="19227A4B"/>
    <w:rsid w:val="193D0F16"/>
    <w:rsid w:val="1B3E182A"/>
    <w:rsid w:val="1B4B5195"/>
    <w:rsid w:val="1C174C6F"/>
    <w:rsid w:val="1C7C020D"/>
    <w:rsid w:val="1C8F78BA"/>
    <w:rsid w:val="1C9B0D84"/>
    <w:rsid w:val="1CDD3F3B"/>
    <w:rsid w:val="1D4D6869"/>
    <w:rsid w:val="1DDE32B8"/>
    <w:rsid w:val="208B18B2"/>
    <w:rsid w:val="21760101"/>
    <w:rsid w:val="22162020"/>
    <w:rsid w:val="22B25284"/>
    <w:rsid w:val="22C07D9F"/>
    <w:rsid w:val="23056CBA"/>
    <w:rsid w:val="234C1E42"/>
    <w:rsid w:val="237827E2"/>
    <w:rsid w:val="23C6059E"/>
    <w:rsid w:val="23C95079"/>
    <w:rsid w:val="24031A53"/>
    <w:rsid w:val="24307C26"/>
    <w:rsid w:val="248E5D4C"/>
    <w:rsid w:val="24C47897"/>
    <w:rsid w:val="24E337F8"/>
    <w:rsid w:val="24FC05B4"/>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216707"/>
    <w:rsid w:val="336E087E"/>
    <w:rsid w:val="33C3087D"/>
    <w:rsid w:val="35961B12"/>
    <w:rsid w:val="364523AD"/>
    <w:rsid w:val="366C5144"/>
    <w:rsid w:val="36700D38"/>
    <w:rsid w:val="36C4673D"/>
    <w:rsid w:val="37B10B63"/>
    <w:rsid w:val="37D17C49"/>
    <w:rsid w:val="390721D7"/>
    <w:rsid w:val="393B510C"/>
    <w:rsid w:val="393F4767"/>
    <w:rsid w:val="39A97E97"/>
    <w:rsid w:val="39EF5920"/>
    <w:rsid w:val="3A260C29"/>
    <w:rsid w:val="3B57268D"/>
    <w:rsid w:val="3B6176CE"/>
    <w:rsid w:val="3BF9504C"/>
    <w:rsid w:val="3CF11603"/>
    <w:rsid w:val="3D7507FB"/>
    <w:rsid w:val="3EB5127A"/>
    <w:rsid w:val="3F503E5E"/>
    <w:rsid w:val="3FC16214"/>
    <w:rsid w:val="41576FF8"/>
    <w:rsid w:val="41D9164E"/>
    <w:rsid w:val="41DD521D"/>
    <w:rsid w:val="41EB5BCC"/>
    <w:rsid w:val="423B7022"/>
    <w:rsid w:val="425277FD"/>
    <w:rsid w:val="4389060E"/>
    <w:rsid w:val="43C8028A"/>
    <w:rsid w:val="43D51667"/>
    <w:rsid w:val="443B2C25"/>
    <w:rsid w:val="448421F1"/>
    <w:rsid w:val="45D37D9B"/>
    <w:rsid w:val="48194FD5"/>
    <w:rsid w:val="484514CB"/>
    <w:rsid w:val="48C86EE1"/>
    <w:rsid w:val="49FA6EF8"/>
    <w:rsid w:val="4A784961"/>
    <w:rsid w:val="4ACF3A3C"/>
    <w:rsid w:val="4B1700DF"/>
    <w:rsid w:val="4B1E1410"/>
    <w:rsid w:val="4C93736D"/>
    <w:rsid w:val="4E155DBA"/>
    <w:rsid w:val="4F0F6A19"/>
    <w:rsid w:val="4FD65C39"/>
    <w:rsid w:val="51D10A66"/>
    <w:rsid w:val="528A390F"/>
    <w:rsid w:val="528C6991"/>
    <w:rsid w:val="534530AA"/>
    <w:rsid w:val="53B27AA2"/>
    <w:rsid w:val="54054633"/>
    <w:rsid w:val="540605E4"/>
    <w:rsid w:val="547F0032"/>
    <w:rsid w:val="54A02A20"/>
    <w:rsid w:val="55C87B3E"/>
    <w:rsid w:val="55EC7130"/>
    <w:rsid w:val="57983795"/>
    <w:rsid w:val="579F6F6D"/>
    <w:rsid w:val="58D67D8C"/>
    <w:rsid w:val="58E10577"/>
    <w:rsid w:val="59165EF7"/>
    <w:rsid w:val="59702A12"/>
    <w:rsid w:val="5A0B1964"/>
    <w:rsid w:val="5A996C4F"/>
    <w:rsid w:val="5AED2A9C"/>
    <w:rsid w:val="5BC746C9"/>
    <w:rsid w:val="5C074A7D"/>
    <w:rsid w:val="5CC61F72"/>
    <w:rsid w:val="5CF206F7"/>
    <w:rsid w:val="5D647EF4"/>
    <w:rsid w:val="5EA0340D"/>
    <w:rsid w:val="5ED66C3C"/>
    <w:rsid w:val="5FDD643B"/>
    <w:rsid w:val="608368E3"/>
    <w:rsid w:val="60BA3E42"/>
    <w:rsid w:val="61037745"/>
    <w:rsid w:val="6194383B"/>
    <w:rsid w:val="61A14A39"/>
    <w:rsid w:val="61CB5375"/>
    <w:rsid w:val="623348CA"/>
    <w:rsid w:val="627A253B"/>
    <w:rsid w:val="654A7049"/>
    <w:rsid w:val="65AD19D1"/>
    <w:rsid w:val="65CA685B"/>
    <w:rsid w:val="65CF34A7"/>
    <w:rsid w:val="65F660EF"/>
    <w:rsid w:val="6673798C"/>
    <w:rsid w:val="673905B6"/>
    <w:rsid w:val="681C3942"/>
    <w:rsid w:val="68460AAC"/>
    <w:rsid w:val="68AC1CFE"/>
    <w:rsid w:val="6BCD1DE6"/>
    <w:rsid w:val="6C505023"/>
    <w:rsid w:val="6CA670BF"/>
    <w:rsid w:val="6D14299F"/>
    <w:rsid w:val="6D672A1E"/>
    <w:rsid w:val="6DC237D1"/>
    <w:rsid w:val="6EBF7AA2"/>
    <w:rsid w:val="6F354D15"/>
    <w:rsid w:val="6F40725E"/>
    <w:rsid w:val="6F8246C5"/>
    <w:rsid w:val="6FF92B7F"/>
    <w:rsid w:val="711172CF"/>
    <w:rsid w:val="71FD54DD"/>
    <w:rsid w:val="72142B5C"/>
    <w:rsid w:val="7410294D"/>
    <w:rsid w:val="74931A62"/>
    <w:rsid w:val="75F15B86"/>
    <w:rsid w:val="76D71644"/>
    <w:rsid w:val="776C2FB6"/>
    <w:rsid w:val="79982284"/>
    <w:rsid w:val="7998662D"/>
    <w:rsid w:val="7A8C5878"/>
    <w:rsid w:val="7B471854"/>
    <w:rsid w:val="7B8557BC"/>
    <w:rsid w:val="7BDF4EBD"/>
    <w:rsid w:val="7BF43833"/>
    <w:rsid w:val="7C552333"/>
    <w:rsid w:val="7CA86C55"/>
    <w:rsid w:val="7CB71996"/>
    <w:rsid w:val="7CF019C1"/>
    <w:rsid w:val="7D4128A2"/>
    <w:rsid w:val="7D461CAD"/>
    <w:rsid w:val="7E28286A"/>
    <w:rsid w:val="7E4515FE"/>
    <w:rsid w:val="7EAD59B2"/>
    <w:rsid w:val="7F91273C"/>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1"/>
    <w:link w:val="62"/>
    <w:qFormat/>
    <w:uiPriority w:val="0"/>
    <w:pPr>
      <w:spacing w:before="460" w:after="450" w:line="360" w:lineRule="auto"/>
      <w:jc w:val="center"/>
      <w:outlineLvl w:val="0"/>
    </w:pPr>
    <w:rPr>
      <w:rFonts w:eastAsiaTheme="minorEastAsia"/>
      <w:bCs w:val="0"/>
      <w:kern w:val="44"/>
      <w:sz w:val="44"/>
      <w:szCs w:val="28"/>
    </w:rPr>
  </w:style>
  <w:style w:type="paragraph" w:styleId="8">
    <w:name w:val="heading 2"/>
    <w:basedOn w:val="1"/>
    <w:next w:val="1"/>
    <w:link w:val="63"/>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7">
    <w:name w:val="heading 3"/>
    <w:basedOn w:val="1"/>
    <w:next w:val="1"/>
    <w:link w:val="61"/>
    <w:qFormat/>
    <w:uiPriority w:val="0"/>
    <w:pPr>
      <w:keepNext/>
      <w:keepLines/>
      <w:spacing w:before="260" w:after="260" w:line="416" w:lineRule="auto"/>
      <w:jc w:val="left"/>
      <w:outlineLvl w:val="2"/>
    </w:pPr>
    <w:rPr>
      <w:b/>
      <w:bCs/>
      <w:sz w:val="24"/>
      <w:szCs w:val="32"/>
    </w:rPr>
  </w:style>
  <w:style w:type="paragraph" w:styleId="9">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1"/>
    <w:link w:val="66"/>
    <w:qFormat/>
    <w:uiPriority w:val="0"/>
    <w:pPr>
      <w:keepNext/>
      <w:keepLines/>
      <w:numPr>
        <w:ilvl w:val="4"/>
        <w:numId w:val="1"/>
      </w:numPr>
      <w:tabs>
        <w:tab w:val="left" w:pos="371"/>
      </w:tabs>
      <w:spacing w:before="280" w:after="290" w:line="374" w:lineRule="auto"/>
      <w:outlineLvl w:val="4"/>
    </w:pPr>
    <w:rPr>
      <w:b/>
      <w:sz w:val="28"/>
    </w:rPr>
  </w:style>
  <w:style w:type="paragraph" w:styleId="12">
    <w:name w:val="heading 6"/>
    <w:basedOn w:val="1"/>
    <w:next w:val="11"/>
    <w:link w:val="67"/>
    <w:qFormat/>
    <w:uiPriority w:val="9"/>
    <w:pPr>
      <w:keepNext/>
      <w:keepLines/>
      <w:numPr>
        <w:ilvl w:val="5"/>
        <w:numId w:val="1"/>
      </w:numPr>
      <w:spacing w:before="240" w:after="64" w:line="319" w:lineRule="auto"/>
      <w:outlineLvl w:val="5"/>
    </w:pPr>
    <w:rPr>
      <w:rFonts w:ascii="Arial" w:hAnsi="Arial" w:eastAsia="黑体"/>
      <w:b/>
      <w:sz w:val="24"/>
    </w:rPr>
  </w:style>
  <w:style w:type="paragraph" w:styleId="13">
    <w:name w:val="heading 7"/>
    <w:basedOn w:val="1"/>
    <w:next w:val="11"/>
    <w:link w:val="68"/>
    <w:qFormat/>
    <w:uiPriority w:val="9"/>
    <w:pPr>
      <w:keepNext/>
      <w:keepLines/>
      <w:numPr>
        <w:ilvl w:val="6"/>
        <w:numId w:val="1"/>
      </w:numPr>
      <w:spacing w:before="240" w:after="64" w:line="319" w:lineRule="auto"/>
      <w:outlineLvl w:val="6"/>
    </w:pPr>
    <w:rPr>
      <w:b/>
      <w:sz w:val="24"/>
    </w:rPr>
  </w:style>
  <w:style w:type="paragraph" w:styleId="14">
    <w:name w:val="heading 8"/>
    <w:basedOn w:val="1"/>
    <w:next w:val="11"/>
    <w:link w:val="69"/>
    <w:qFormat/>
    <w:uiPriority w:val="9"/>
    <w:pPr>
      <w:keepNext/>
      <w:keepLines/>
      <w:numPr>
        <w:ilvl w:val="7"/>
        <w:numId w:val="1"/>
      </w:numPr>
      <w:spacing w:before="240" w:after="64" w:line="319" w:lineRule="auto"/>
      <w:outlineLvl w:val="7"/>
    </w:pPr>
    <w:rPr>
      <w:rFonts w:ascii="Arial" w:hAnsi="Arial" w:eastAsia="黑体"/>
      <w:sz w:val="24"/>
    </w:rPr>
  </w:style>
  <w:style w:type="paragraph" w:styleId="15">
    <w:name w:val="heading 9"/>
    <w:basedOn w:val="1"/>
    <w:next w:val="11"/>
    <w:link w:val="70"/>
    <w:qFormat/>
    <w:uiPriority w:val="0"/>
    <w:pPr>
      <w:keepNext/>
      <w:keepLines/>
      <w:numPr>
        <w:ilvl w:val="8"/>
        <w:numId w:val="1"/>
      </w:numPr>
      <w:spacing w:before="240" w:after="64" w:line="319"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94"/>
    <w:qFormat/>
    <w:uiPriority w:val="0"/>
    <w:pPr>
      <w:spacing w:after="160" w:line="360" w:lineRule="auto"/>
      <w:ind w:firstLine="480" w:firstLineChars="200"/>
    </w:pPr>
    <w:rPr>
      <w:kern w:val="0"/>
      <w:sz w:val="24"/>
    </w:rPr>
  </w:style>
  <w:style w:type="paragraph" w:styleId="3">
    <w:name w:val="Body Text Indent"/>
    <w:basedOn w:val="1"/>
    <w:next w:val="4"/>
    <w:link w:val="76"/>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99"/>
    <w:pPr>
      <w:ind w:left="420" w:hanging="420"/>
    </w:pPr>
    <w:rPr>
      <w:rFonts w:ascii="Arial" w:hAnsi="Arial" w:eastAsia="楷体_GB2312"/>
      <w:sz w:val="28"/>
    </w:rPr>
  </w:style>
  <w:style w:type="paragraph" w:styleId="11">
    <w:name w:val="Normal Indent"/>
    <w:basedOn w:val="1"/>
    <w:next w:val="1"/>
    <w:link w:val="65"/>
    <w:qFormat/>
    <w:uiPriority w:val="0"/>
    <w:pPr>
      <w:ind w:firstLine="420" w:firstLineChars="200"/>
    </w:pPr>
  </w:style>
  <w:style w:type="paragraph" w:styleId="16">
    <w:name w:val="toc 7"/>
    <w:basedOn w:val="1"/>
    <w:next w:val="1"/>
    <w:qFormat/>
    <w:uiPriority w:val="0"/>
    <w:pPr>
      <w:ind w:left="1260"/>
      <w:jc w:val="left"/>
    </w:pPr>
    <w:rPr>
      <w:szCs w:val="21"/>
    </w:rPr>
  </w:style>
  <w:style w:type="paragraph" w:styleId="17">
    <w:name w:val="List Number 2"/>
    <w:basedOn w:val="1"/>
    <w:qFormat/>
    <w:uiPriority w:val="0"/>
    <w:pPr>
      <w:tabs>
        <w:tab w:val="left" w:pos="780"/>
      </w:tabs>
      <w:ind w:left="780" w:hanging="360"/>
    </w:pPr>
    <w:rPr>
      <w:szCs w:val="20"/>
    </w:rPr>
  </w:style>
  <w:style w:type="paragraph" w:styleId="18">
    <w:name w:val="List Bullet 4"/>
    <w:basedOn w:val="1"/>
    <w:qFormat/>
    <w:uiPriority w:val="0"/>
    <w:pPr>
      <w:tabs>
        <w:tab w:val="left" w:pos="425"/>
        <w:tab w:val="left" w:pos="1620"/>
      </w:tabs>
      <w:ind w:left="425" w:hanging="425"/>
    </w:pPr>
    <w:rPr>
      <w:szCs w:val="20"/>
    </w:rPr>
  </w:style>
  <w:style w:type="paragraph" w:styleId="19">
    <w:name w:val="caption"/>
    <w:basedOn w:val="1"/>
    <w:next w:val="1"/>
    <w:link w:val="299"/>
    <w:qFormat/>
    <w:uiPriority w:val="0"/>
    <w:rPr>
      <w:rFonts w:ascii="Cambria" w:hAnsi="Cambria" w:eastAsia="黑体"/>
    </w:rPr>
  </w:style>
  <w:style w:type="paragraph" w:styleId="20">
    <w:name w:val="List Bullet"/>
    <w:basedOn w:val="1"/>
    <w:qFormat/>
    <w:uiPriority w:val="0"/>
    <w:pPr>
      <w:numPr>
        <w:ilvl w:val="0"/>
        <w:numId w:val="1"/>
      </w:numPr>
      <w:tabs>
        <w:tab w:val="left" w:pos="360"/>
        <w:tab w:val="clear" w:pos="371"/>
      </w:tabs>
    </w:pPr>
    <w:rPr>
      <w:szCs w:val="20"/>
    </w:rPr>
  </w:style>
  <w:style w:type="paragraph" w:styleId="21">
    <w:name w:val="Document Map"/>
    <w:basedOn w:val="1"/>
    <w:link w:val="75"/>
    <w:qFormat/>
    <w:uiPriority w:val="0"/>
    <w:pPr>
      <w:shd w:val="clear" w:color="auto" w:fill="000080"/>
    </w:pPr>
  </w:style>
  <w:style w:type="paragraph" w:styleId="22">
    <w:name w:val="annotation text"/>
    <w:basedOn w:val="1"/>
    <w:link w:val="71"/>
    <w:qFormat/>
    <w:uiPriority w:val="0"/>
    <w:pPr>
      <w:jc w:val="left"/>
    </w:pPr>
  </w:style>
  <w:style w:type="paragraph" w:styleId="23">
    <w:name w:val="Body Text 3"/>
    <w:basedOn w:val="1"/>
    <w:link w:val="460"/>
    <w:unhideWhenUsed/>
    <w:qFormat/>
    <w:uiPriority w:val="0"/>
    <w:pPr>
      <w:spacing w:after="120"/>
    </w:pPr>
    <w:rPr>
      <w:sz w:val="16"/>
      <w:szCs w:val="16"/>
    </w:rPr>
  </w:style>
  <w:style w:type="paragraph" w:styleId="24">
    <w:name w:val="Body Text"/>
    <w:basedOn w:val="1"/>
    <w:next w:val="1"/>
    <w:link w:val="73"/>
    <w:qFormat/>
    <w:uiPriority w:val="0"/>
    <w:pPr>
      <w:spacing w:after="120"/>
    </w:pPr>
  </w:style>
  <w:style w:type="paragraph" w:styleId="25">
    <w:name w:val="Block Text"/>
    <w:basedOn w:val="1"/>
    <w:qFormat/>
    <w:uiPriority w:val="0"/>
    <w:pPr>
      <w:spacing w:after="120"/>
      <w:ind w:left="1440" w:leftChars="700" w:right="1440" w:rightChars="700"/>
    </w:pPr>
  </w:style>
  <w:style w:type="paragraph" w:styleId="26">
    <w:name w:val="List Bullet 2"/>
    <w:basedOn w:val="1"/>
    <w:qFormat/>
    <w:uiPriority w:val="0"/>
    <w:pPr>
      <w:numPr>
        <w:ilvl w:val="0"/>
        <w:numId w:val="2"/>
      </w:numPr>
      <w:tabs>
        <w:tab w:val="left" w:pos="780"/>
      </w:tabs>
    </w:pPr>
    <w:rPr>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39"/>
    <w:pPr>
      <w:ind w:left="420"/>
      <w:jc w:val="left"/>
    </w:pPr>
    <w:rPr>
      <w:iCs/>
    </w:rPr>
  </w:style>
  <w:style w:type="paragraph" w:styleId="29">
    <w:name w:val="Plain Text"/>
    <w:basedOn w:val="1"/>
    <w:link w:val="77"/>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318"/>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2">
    <w:name w:val="Body Text Indent 2"/>
    <w:basedOn w:val="1"/>
    <w:link w:val="78"/>
    <w:qFormat/>
    <w:uiPriority w:val="0"/>
    <w:pPr>
      <w:spacing w:after="120" w:line="480" w:lineRule="auto"/>
      <w:ind w:left="420" w:leftChars="200"/>
    </w:pPr>
  </w:style>
  <w:style w:type="paragraph" w:styleId="33">
    <w:name w:val="Balloon Text"/>
    <w:basedOn w:val="1"/>
    <w:link w:val="79"/>
    <w:qFormat/>
    <w:uiPriority w:val="0"/>
    <w:rPr>
      <w:sz w:val="18"/>
      <w:szCs w:val="18"/>
    </w:rPr>
  </w:style>
  <w:style w:type="paragraph" w:styleId="34">
    <w:name w:val="footer"/>
    <w:basedOn w:val="1"/>
    <w:link w:val="80"/>
    <w:qFormat/>
    <w:uiPriority w:val="99"/>
    <w:pPr>
      <w:tabs>
        <w:tab w:val="center" w:pos="4153"/>
        <w:tab w:val="right" w:pos="8306"/>
      </w:tabs>
      <w:snapToGrid w:val="0"/>
      <w:jc w:val="left"/>
    </w:pPr>
    <w:rPr>
      <w:sz w:val="18"/>
      <w:szCs w:val="18"/>
    </w:rPr>
  </w:style>
  <w:style w:type="paragraph" w:styleId="35">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6">
    <w:name w:val="Signature"/>
    <w:basedOn w:val="1"/>
    <w:link w:val="289"/>
    <w:qFormat/>
    <w:uiPriority w:val="0"/>
    <w:pPr>
      <w:ind w:left="4320"/>
    </w:pPr>
    <w:rPr>
      <w:rFonts w:eastAsia="楷体_GB2312"/>
      <w:szCs w:val="20"/>
    </w:rPr>
  </w:style>
  <w:style w:type="paragraph" w:styleId="37">
    <w:name w:val="toc 1"/>
    <w:basedOn w:val="1"/>
    <w:next w:val="1"/>
    <w:qFormat/>
    <w:uiPriority w:val="39"/>
    <w:pPr>
      <w:spacing w:before="120" w:after="120"/>
      <w:jc w:val="left"/>
    </w:pPr>
    <w:rPr>
      <w:b/>
      <w:bCs/>
      <w:caps/>
    </w:rPr>
  </w:style>
  <w:style w:type="paragraph" w:styleId="38">
    <w:name w:val="toc 4"/>
    <w:basedOn w:val="1"/>
    <w:next w:val="1"/>
    <w:qFormat/>
    <w:uiPriority w:val="0"/>
    <w:pPr>
      <w:ind w:left="630"/>
      <w:jc w:val="left"/>
    </w:pPr>
    <w:rPr>
      <w:szCs w:val="21"/>
    </w:rPr>
  </w:style>
  <w:style w:type="paragraph" w:styleId="39">
    <w:name w:val="index heading"/>
    <w:basedOn w:val="1"/>
    <w:next w:val="40"/>
    <w:qFormat/>
    <w:uiPriority w:val="0"/>
    <w:rPr>
      <w:szCs w:val="20"/>
    </w:rPr>
  </w:style>
  <w:style w:type="paragraph" w:styleId="40">
    <w:name w:val="index 1"/>
    <w:basedOn w:val="1"/>
    <w:next w:val="1"/>
    <w:qFormat/>
    <w:uiPriority w:val="0"/>
  </w:style>
  <w:style w:type="paragraph" w:styleId="41">
    <w:name w:val="footnote text"/>
    <w:basedOn w:val="1"/>
    <w:link w:val="465"/>
    <w:qFormat/>
    <w:uiPriority w:val="0"/>
    <w:pPr>
      <w:snapToGrid w:val="0"/>
      <w:jc w:val="left"/>
    </w:pPr>
    <w:rPr>
      <w:sz w:val="18"/>
      <w:szCs w:val="18"/>
    </w:rPr>
  </w:style>
  <w:style w:type="paragraph" w:styleId="42">
    <w:name w:val="toc 6"/>
    <w:basedOn w:val="1"/>
    <w:next w:val="1"/>
    <w:qFormat/>
    <w:uiPriority w:val="0"/>
    <w:pPr>
      <w:ind w:left="1050"/>
      <w:jc w:val="left"/>
    </w:pPr>
    <w:rPr>
      <w:szCs w:val="21"/>
    </w:rPr>
  </w:style>
  <w:style w:type="paragraph" w:styleId="43">
    <w:name w:val="Body Text Indent 3"/>
    <w:basedOn w:val="1"/>
    <w:link w:val="315"/>
    <w:qFormat/>
    <w:uiPriority w:val="0"/>
    <w:pPr>
      <w:ind w:firstLine="426"/>
    </w:pPr>
    <w:rPr>
      <w:szCs w:val="20"/>
    </w:rPr>
  </w:style>
  <w:style w:type="paragraph" w:styleId="44">
    <w:name w:val="toc 2"/>
    <w:basedOn w:val="1"/>
    <w:next w:val="1"/>
    <w:qFormat/>
    <w:uiPriority w:val="39"/>
    <w:pPr>
      <w:ind w:left="210"/>
      <w:jc w:val="left"/>
    </w:pPr>
    <w:rPr>
      <w:smallCaps/>
    </w:rPr>
  </w:style>
  <w:style w:type="paragraph" w:styleId="45">
    <w:name w:val="toc 9"/>
    <w:basedOn w:val="1"/>
    <w:next w:val="1"/>
    <w:qFormat/>
    <w:uiPriority w:val="0"/>
    <w:pPr>
      <w:ind w:left="1680"/>
      <w:jc w:val="left"/>
    </w:pPr>
    <w:rPr>
      <w:szCs w:val="21"/>
    </w:rPr>
  </w:style>
  <w:style w:type="paragraph" w:styleId="46">
    <w:name w:val="Body Text 2"/>
    <w:basedOn w:val="1"/>
    <w:link w:val="308"/>
    <w:qFormat/>
    <w:uiPriority w:val="0"/>
    <w:rPr>
      <w:sz w:val="28"/>
      <w:szCs w:val="20"/>
    </w:rPr>
  </w:style>
  <w:style w:type="paragraph" w:styleId="47">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qFormat/>
    <w:uiPriority w:val="99"/>
    <w:pPr>
      <w:widowControl/>
      <w:spacing w:before="100" w:beforeAutospacing="1" w:after="100" w:afterAutospacing="1"/>
      <w:jc w:val="left"/>
    </w:pPr>
    <w:rPr>
      <w:kern w:val="0"/>
      <w:sz w:val="24"/>
    </w:rPr>
  </w:style>
  <w:style w:type="paragraph" w:styleId="49">
    <w:name w:val="Title"/>
    <w:basedOn w:val="1"/>
    <w:link w:val="83"/>
    <w:qFormat/>
    <w:uiPriority w:val="0"/>
    <w:pPr>
      <w:spacing w:before="240" w:after="60"/>
      <w:jc w:val="center"/>
      <w:outlineLvl w:val="0"/>
    </w:pPr>
    <w:rPr>
      <w:rFonts w:ascii="Arial" w:hAnsi="Arial" w:eastAsia="隶书"/>
      <w:b/>
      <w:bCs/>
      <w:sz w:val="32"/>
      <w:szCs w:val="32"/>
    </w:rPr>
  </w:style>
  <w:style w:type="paragraph" w:styleId="50">
    <w:name w:val="annotation subject"/>
    <w:basedOn w:val="22"/>
    <w:next w:val="22"/>
    <w:link w:val="72"/>
    <w:qFormat/>
    <w:uiPriority w:val="0"/>
    <w:rPr>
      <w:b/>
      <w:bCs/>
    </w:rPr>
  </w:style>
  <w:style w:type="paragraph" w:styleId="51">
    <w:name w:val="Body Text First Indent"/>
    <w:basedOn w:val="24"/>
    <w:link w:val="74"/>
    <w:qFormat/>
    <w:uiPriority w:val="0"/>
    <w:pPr>
      <w:ind w:firstLine="420" w:firstLineChars="100"/>
    </w:p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标题 3 字符"/>
    <w:basedOn w:val="54"/>
    <w:link w:val="7"/>
    <w:qFormat/>
    <w:uiPriority w:val="0"/>
    <w:rPr>
      <w:b/>
      <w:bCs/>
      <w:kern w:val="2"/>
      <w:sz w:val="24"/>
      <w:szCs w:val="32"/>
    </w:rPr>
  </w:style>
  <w:style w:type="character" w:customStyle="1" w:styleId="62">
    <w:name w:val="标题 1 字符"/>
    <w:basedOn w:val="54"/>
    <w:link w:val="6"/>
    <w:qFormat/>
    <w:uiPriority w:val="0"/>
    <w:rPr>
      <w:rFonts w:eastAsiaTheme="minorEastAsia"/>
      <w:b/>
      <w:kern w:val="44"/>
      <w:sz w:val="44"/>
      <w:szCs w:val="28"/>
    </w:rPr>
  </w:style>
  <w:style w:type="character" w:customStyle="1" w:styleId="63">
    <w:name w:val="标题 2 字符"/>
    <w:basedOn w:val="54"/>
    <w:link w:val="8"/>
    <w:qFormat/>
    <w:uiPriority w:val="0"/>
    <w:rPr>
      <w:rFonts w:ascii="Arial" w:hAnsi="Arial" w:eastAsiaTheme="minorEastAsia"/>
      <w:b/>
      <w:bCs/>
      <w:kern w:val="2"/>
      <w:sz w:val="28"/>
      <w:szCs w:val="32"/>
    </w:rPr>
  </w:style>
  <w:style w:type="character" w:customStyle="1" w:styleId="64">
    <w:name w:val="标题 4 字符"/>
    <w:basedOn w:val="54"/>
    <w:link w:val="9"/>
    <w:qFormat/>
    <w:uiPriority w:val="99"/>
    <w:rPr>
      <w:rFonts w:ascii="Arial" w:hAnsi="Arial" w:eastAsia="黑体"/>
      <w:b/>
      <w:bCs/>
      <w:kern w:val="2"/>
      <w:sz w:val="28"/>
      <w:szCs w:val="28"/>
    </w:rPr>
  </w:style>
  <w:style w:type="character" w:customStyle="1" w:styleId="65">
    <w:name w:val="正文缩进 字符"/>
    <w:link w:val="11"/>
    <w:qFormat/>
    <w:uiPriority w:val="0"/>
    <w:rPr>
      <w:rFonts w:eastAsia="宋体"/>
      <w:kern w:val="2"/>
      <w:sz w:val="21"/>
      <w:szCs w:val="24"/>
      <w:lang w:val="en-US" w:eastAsia="zh-CN" w:bidi="ar-SA"/>
    </w:rPr>
  </w:style>
  <w:style w:type="character" w:customStyle="1" w:styleId="66">
    <w:name w:val="标题 5 字符"/>
    <w:basedOn w:val="54"/>
    <w:link w:val="10"/>
    <w:qFormat/>
    <w:uiPriority w:val="0"/>
    <w:rPr>
      <w:b/>
      <w:kern w:val="2"/>
      <w:sz w:val="28"/>
      <w:szCs w:val="24"/>
    </w:rPr>
  </w:style>
  <w:style w:type="character" w:customStyle="1" w:styleId="67">
    <w:name w:val="标题 6 字符"/>
    <w:basedOn w:val="54"/>
    <w:link w:val="12"/>
    <w:qFormat/>
    <w:uiPriority w:val="9"/>
    <w:rPr>
      <w:rFonts w:ascii="Arial" w:hAnsi="Arial" w:eastAsia="黑体"/>
      <w:b/>
      <w:kern w:val="2"/>
      <w:sz w:val="24"/>
      <w:szCs w:val="24"/>
    </w:rPr>
  </w:style>
  <w:style w:type="character" w:customStyle="1" w:styleId="68">
    <w:name w:val="标题 7 字符"/>
    <w:basedOn w:val="54"/>
    <w:link w:val="13"/>
    <w:qFormat/>
    <w:uiPriority w:val="9"/>
    <w:rPr>
      <w:b/>
      <w:kern w:val="2"/>
      <w:sz w:val="24"/>
      <w:szCs w:val="24"/>
    </w:rPr>
  </w:style>
  <w:style w:type="character" w:customStyle="1" w:styleId="69">
    <w:name w:val="标题 8 字符"/>
    <w:basedOn w:val="54"/>
    <w:link w:val="14"/>
    <w:qFormat/>
    <w:uiPriority w:val="9"/>
    <w:rPr>
      <w:rFonts w:ascii="Arial" w:hAnsi="Arial" w:eastAsia="黑体"/>
      <w:kern w:val="2"/>
      <w:sz w:val="24"/>
      <w:szCs w:val="24"/>
    </w:rPr>
  </w:style>
  <w:style w:type="character" w:customStyle="1" w:styleId="70">
    <w:name w:val="标题 9 字符"/>
    <w:basedOn w:val="54"/>
    <w:link w:val="15"/>
    <w:qFormat/>
    <w:uiPriority w:val="0"/>
    <w:rPr>
      <w:rFonts w:ascii="Arial" w:hAnsi="Arial" w:eastAsia="黑体"/>
      <w:kern w:val="2"/>
      <w:sz w:val="21"/>
      <w:szCs w:val="24"/>
    </w:rPr>
  </w:style>
  <w:style w:type="character" w:customStyle="1" w:styleId="71">
    <w:name w:val="批注文字 字符1"/>
    <w:link w:val="22"/>
    <w:qFormat/>
    <w:uiPriority w:val="0"/>
    <w:rPr>
      <w:kern w:val="2"/>
      <w:sz w:val="21"/>
      <w:szCs w:val="24"/>
    </w:rPr>
  </w:style>
  <w:style w:type="character" w:customStyle="1" w:styleId="72">
    <w:name w:val="批注主题 字符"/>
    <w:basedOn w:val="71"/>
    <w:link w:val="50"/>
    <w:qFormat/>
    <w:uiPriority w:val="0"/>
    <w:rPr>
      <w:b/>
      <w:bCs/>
      <w:kern w:val="2"/>
      <w:sz w:val="21"/>
      <w:szCs w:val="24"/>
    </w:rPr>
  </w:style>
  <w:style w:type="character" w:customStyle="1" w:styleId="73">
    <w:name w:val="正文文本 字符1"/>
    <w:basedOn w:val="54"/>
    <w:link w:val="24"/>
    <w:qFormat/>
    <w:uiPriority w:val="0"/>
    <w:rPr>
      <w:kern w:val="2"/>
      <w:sz w:val="21"/>
      <w:szCs w:val="24"/>
    </w:rPr>
  </w:style>
  <w:style w:type="character" w:customStyle="1" w:styleId="74">
    <w:name w:val="正文文本首行缩进 字符"/>
    <w:link w:val="51"/>
    <w:qFormat/>
    <w:uiPriority w:val="0"/>
    <w:rPr>
      <w:rFonts w:eastAsia="宋体"/>
      <w:kern w:val="2"/>
      <w:sz w:val="21"/>
      <w:szCs w:val="24"/>
      <w:lang w:val="en-US" w:eastAsia="zh-CN" w:bidi="ar-SA"/>
    </w:rPr>
  </w:style>
  <w:style w:type="character" w:customStyle="1" w:styleId="75">
    <w:name w:val="文档结构图 字符"/>
    <w:basedOn w:val="54"/>
    <w:link w:val="21"/>
    <w:qFormat/>
    <w:uiPriority w:val="0"/>
    <w:rPr>
      <w:kern w:val="2"/>
      <w:sz w:val="21"/>
      <w:szCs w:val="24"/>
      <w:shd w:val="clear" w:color="auto" w:fill="000080"/>
    </w:rPr>
  </w:style>
  <w:style w:type="character" w:customStyle="1" w:styleId="76">
    <w:name w:val="正文文本缩进 字符1"/>
    <w:basedOn w:val="54"/>
    <w:link w:val="3"/>
    <w:qFormat/>
    <w:uiPriority w:val="0"/>
    <w:rPr>
      <w:kern w:val="2"/>
      <w:sz w:val="21"/>
      <w:szCs w:val="24"/>
    </w:rPr>
  </w:style>
  <w:style w:type="character" w:customStyle="1" w:styleId="77">
    <w:name w:val="纯文本 字符"/>
    <w:link w:val="29"/>
    <w:qFormat/>
    <w:uiPriority w:val="0"/>
    <w:rPr>
      <w:rFonts w:ascii="宋体" w:hAnsi="Courier New" w:eastAsia="宋体"/>
      <w:kern w:val="2"/>
      <w:sz w:val="21"/>
      <w:lang w:val="en-US" w:eastAsia="zh-CN" w:bidi="ar-SA"/>
    </w:rPr>
  </w:style>
  <w:style w:type="character" w:customStyle="1" w:styleId="78">
    <w:name w:val="正文文本缩进 2 字符"/>
    <w:link w:val="32"/>
    <w:qFormat/>
    <w:uiPriority w:val="0"/>
    <w:rPr>
      <w:kern w:val="2"/>
      <w:sz w:val="21"/>
      <w:szCs w:val="24"/>
    </w:rPr>
  </w:style>
  <w:style w:type="character" w:customStyle="1" w:styleId="79">
    <w:name w:val="批注框文本 字符"/>
    <w:basedOn w:val="54"/>
    <w:link w:val="33"/>
    <w:qFormat/>
    <w:uiPriority w:val="99"/>
    <w:rPr>
      <w:kern w:val="2"/>
      <w:sz w:val="18"/>
      <w:szCs w:val="18"/>
    </w:rPr>
  </w:style>
  <w:style w:type="character" w:customStyle="1" w:styleId="80">
    <w:name w:val="页脚 字符"/>
    <w:basedOn w:val="54"/>
    <w:link w:val="34"/>
    <w:qFormat/>
    <w:uiPriority w:val="99"/>
    <w:rPr>
      <w:kern w:val="2"/>
      <w:sz w:val="18"/>
      <w:szCs w:val="18"/>
    </w:rPr>
  </w:style>
  <w:style w:type="character" w:customStyle="1" w:styleId="81">
    <w:name w:val="页眉 字符"/>
    <w:link w:val="35"/>
    <w:qFormat/>
    <w:uiPriority w:val="99"/>
    <w:rPr>
      <w:kern w:val="2"/>
      <w:sz w:val="18"/>
      <w:szCs w:val="18"/>
    </w:rPr>
  </w:style>
  <w:style w:type="character" w:customStyle="1" w:styleId="82">
    <w:name w:val="HTML 预设格式 字符"/>
    <w:link w:val="47"/>
    <w:qFormat/>
    <w:uiPriority w:val="0"/>
    <w:rPr>
      <w:rFonts w:ascii="宋体" w:hAnsi="宋体" w:cs="宋体"/>
      <w:sz w:val="24"/>
      <w:szCs w:val="24"/>
    </w:rPr>
  </w:style>
  <w:style w:type="character" w:customStyle="1" w:styleId="83">
    <w:name w:val="标题 字符"/>
    <w:link w:val="49"/>
    <w:qFormat/>
    <w:uiPriority w:val="0"/>
    <w:rPr>
      <w:rFonts w:ascii="Arial" w:hAnsi="Arial" w:eastAsia="隶书" w:cs="Arial"/>
      <w:b/>
      <w:bCs/>
      <w:kern w:val="2"/>
      <w:sz w:val="32"/>
      <w:szCs w:val="32"/>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qFormat/>
    <w:uiPriority w:val="0"/>
    <w:pPr>
      <w:spacing w:line="360" w:lineRule="auto"/>
      <w:ind w:firstLine="516" w:firstLineChars="215"/>
    </w:pPr>
    <w:rPr>
      <w:sz w:val="24"/>
      <w:szCs w:val="20"/>
    </w:rPr>
  </w:style>
  <w:style w:type="character" w:customStyle="1" w:styleId="86">
    <w:name w:val="样式1 Char Char Char"/>
    <w:link w:val="85"/>
    <w:qFormat/>
    <w:uiPriority w:val="0"/>
    <w:rPr>
      <w:rFonts w:eastAsia="宋体"/>
      <w:kern w:val="2"/>
      <w:sz w:val="24"/>
      <w:lang w:val="en-US" w:eastAsia="zh-CN" w:bidi="ar-SA"/>
    </w:rPr>
  </w:style>
  <w:style w:type="paragraph" w:customStyle="1" w:styleId="87">
    <w:name w:val="样式1"/>
    <w:basedOn w:val="49"/>
    <w:link w:val="88"/>
    <w:qFormat/>
    <w:uiPriority w:val="0"/>
    <w:pPr>
      <w:spacing w:before="120" w:after="120"/>
    </w:pPr>
    <w:rPr>
      <w:rFonts w:eastAsia="黑体" w:cs="Arial"/>
      <w:b w:val="0"/>
      <w:sz w:val="30"/>
      <w:szCs w:val="21"/>
    </w:rPr>
  </w:style>
  <w:style w:type="character" w:customStyle="1" w:styleId="88">
    <w:name w:val="样式1 Char"/>
    <w:link w:val="87"/>
    <w:qFormat/>
    <w:uiPriority w:val="0"/>
    <w:rPr>
      <w:rFonts w:ascii="Arial" w:hAnsi="Arial" w:eastAsia="黑体" w:cs="Arial"/>
      <w:bCs/>
      <w:kern w:val="2"/>
      <w:sz w:val="30"/>
      <w:szCs w:val="21"/>
      <w:lang w:val="en-US" w:eastAsia="zh-CN" w:bidi="ar-SA"/>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qFormat/>
    <w:uiPriority w:val="0"/>
    <w:rPr>
      <w:rFonts w:ascii="仿宋_GB2312" w:eastAsia="仿宋_GB2312"/>
      <w:b/>
      <w:sz w:val="32"/>
      <w:szCs w:val="32"/>
    </w:rPr>
  </w:style>
  <w:style w:type="character" w:customStyle="1" w:styleId="93">
    <w:name w:val="tpc_title1"/>
    <w:qFormat/>
    <w:uiPriority w:val="0"/>
    <w:rPr>
      <w:b/>
      <w:bCs/>
      <w:sz w:val="18"/>
      <w:szCs w:val="18"/>
    </w:rPr>
  </w:style>
  <w:style w:type="character" w:customStyle="1" w:styleId="94">
    <w:name w:val="tpc_content1"/>
    <w:qFormat/>
    <w:uiPriority w:val="0"/>
    <w:rPr>
      <w:sz w:val="20"/>
      <w:szCs w:val="20"/>
    </w:rPr>
  </w:style>
  <w:style w:type="paragraph" w:customStyle="1" w:styleId="9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qFormat/>
    <w:uiPriority w:val="0"/>
    <w:pPr>
      <w:ind w:firstLine="420" w:firstLineChars="200"/>
    </w:pPr>
  </w:style>
  <w:style w:type="character" w:customStyle="1" w:styleId="97">
    <w:name w:val="列表段落 字符"/>
    <w:link w:val="96"/>
    <w:qFormat/>
    <w:uiPriority w:val="0"/>
    <w:rPr>
      <w:kern w:val="2"/>
      <w:sz w:val="21"/>
      <w:szCs w:val="24"/>
    </w:rPr>
  </w:style>
  <w:style w:type="paragraph" w:customStyle="1" w:styleId="98">
    <w:name w:val="正文1"/>
    <w:basedOn w:val="1"/>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0">
    <w:name w:val="缩进正文"/>
    <w:basedOn w:val="1"/>
    <w:link w:val="101"/>
    <w:qFormat/>
    <w:uiPriority w:val="0"/>
    <w:pPr>
      <w:ind w:firstLine="560" w:firstLineChars="200"/>
    </w:pPr>
    <w:rPr>
      <w:rFonts w:eastAsia="仿宋_GB2312" w:cs="宋体"/>
      <w:sz w:val="28"/>
      <w:szCs w:val="20"/>
    </w:rPr>
  </w:style>
  <w:style w:type="character" w:customStyle="1" w:styleId="101">
    <w:name w:val="缩进正文 Char"/>
    <w:link w:val="100"/>
    <w:qFormat/>
    <w:uiPriority w:val="0"/>
    <w:rPr>
      <w:rFonts w:eastAsia="仿宋_GB2312" w:cs="宋体"/>
      <w:kern w:val="2"/>
      <w:sz w:val="28"/>
      <w:lang w:val="en-US" w:eastAsia="zh-CN" w:bidi="ar-SA"/>
    </w:rPr>
  </w:style>
  <w:style w:type="character" w:customStyle="1" w:styleId="102">
    <w:name w:val="访问过的超链接1"/>
    <w:qFormat/>
    <w:uiPriority w:val="0"/>
    <w:rPr>
      <w:color w:val="800080"/>
      <w:u w:val="single"/>
    </w:rPr>
  </w:style>
  <w:style w:type="paragraph" w:customStyle="1" w:styleId="103">
    <w:name w:val="Char Char Char Char Char Char Char"/>
    <w:basedOn w:val="1"/>
    <w:qFormat/>
    <w:uiPriority w:val="0"/>
    <w:pPr>
      <w:widowControl/>
      <w:adjustRightInd w:val="0"/>
      <w:spacing w:after="160" w:line="240" w:lineRule="exact"/>
      <w:jc w:val="left"/>
      <w:textAlignment w:val="baseline"/>
    </w:pPr>
  </w:style>
  <w:style w:type="character" w:customStyle="1" w:styleId="104">
    <w:name w:val="正文缩进 Char1"/>
    <w:qFormat/>
    <w:uiPriority w:val="0"/>
    <w:rPr>
      <w:rFonts w:eastAsia="宋体"/>
      <w:kern w:val="2"/>
      <w:sz w:val="21"/>
      <w:lang w:val="en-US" w:eastAsia="zh-CN" w:bidi="ar-SA"/>
    </w:rPr>
  </w:style>
  <w:style w:type="paragraph" w:customStyle="1" w:styleId="10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unhideWhenUsed/>
    <w:qFormat/>
    <w:uiPriority w:val="34"/>
    <w:pPr>
      <w:ind w:firstLine="420" w:firstLineChars="200"/>
    </w:pPr>
  </w:style>
  <w:style w:type="paragraph" w:customStyle="1" w:styleId="107">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8">
    <w:name w:val="font11"/>
    <w:basedOn w:val="54"/>
    <w:qFormat/>
    <w:uiPriority w:val="0"/>
    <w:rPr>
      <w:rFonts w:hint="eastAsia" w:ascii="宋体" w:hAnsi="宋体" w:eastAsia="宋体" w:cs="宋体"/>
      <w:b/>
      <w:color w:val="000000"/>
      <w:sz w:val="21"/>
      <w:szCs w:val="21"/>
      <w:u w:val="none"/>
    </w:rPr>
  </w:style>
  <w:style w:type="character" w:customStyle="1" w:styleId="109">
    <w:name w:val="批注文字 Char1"/>
    <w:qFormat/>
    <w:locked/>
    <w:uiPriority w:val="0"/>
    <w:rPr>
      <w:rFonts w:ascii="Calibri" w:hAnsi="Calibri" w:eastAsia="宋体" w:cs="Calibri"/>
      <w:szCs w:val="21"/>
    </w:rPr>
  </w:style>
  <w:style w:type="character" w:customStyle="1" w:styleId="110">
    <w:name w:val="title1"/>
    <w:qFormat/>
    <w:uiPriority w:val="0"/>
    <w:rPr>
      <w:rFonts w:hint="eastAsia" w:ascii="微软雅黑" w:hAnsi="微软雅黑" w:eastAsia="微软雅黑"/>
      <w:sz w:val="21"/>
      <w:szCs w:val="21"/>
    </w:rPr>
  </w:style>
  <w:style w:type="character" w:customStyle="1" w:styleId="111">
    <w:name w:val="sect2title1"/>
    <w:qFormat/>
    <w:uiPriority w:val="0"/>
    <w:rPr>
      <w:rFonts w:hint="eastAsia" w:ascii="微软雅黑" w:hAnsi="微软雅黑" w:eastAsia="微软雅黑"/>
      <w:b/>
      <w:bCs/>
      <w:sz w:val="21"/>
      <w:szCs w:val="21"/>
    </w:rPr>
  </w:style>
  <w:style w:type="paragraph" w:customStyle="1" w:styleId="112">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4"/>
    <w:qFormat/>
    <w:uiPriority w:val="0"/>
    <w:rPr>
      <w:rFonts w:ascii="Tahoma" w:hAnsi="Tahoma" w:eastAsia="Tahoma" w:cs="Tahoma"/>
      <w:color w:val="000000"/>
      <w:sz w:val="20"/>
      <w:szCs w:val="20"/>
      <w:u w:val="none"/>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4"/>
    <w:qFormat/>
    <w:uiPriority w:val="0"/>
    <w:rPr>
      <w:rFonts w:hint="eastAsia" w:ascii="仿宋_GB2312" w:eastAsia="仿宋_GB2312" w:cs="仿宋_GB2312"/>
      <w:color w:val="000000"/>
      <w:sz w:val="20"/>
      <w:szCs w:val="20"/>
      <w:u w:val="none"/>
    </w:rPr>
  </w:style>
  <w:style w:type="character" w:customStyle="1" w:styleId="169">
    <w:name w:val="font31"/>
    <w:basedOn w:val="54"/>
    <w:qFormat/>
    <w:uiPriority w:val="0"/>
    <w:rPr>
      <w:rFonts w:hint="default" w:ascii="Symbol" w:hAnsi="Symbol" w:cs="Symbol"/>
      <w:color w:val="000000"/>
      <w:sz w:val="20"/>
      <w:szCs w:val="20"/>
      <w:u w:val="none"/>
    </w:rPr>
  </w:style>
  <w:style w:type="character" w:customStyle="1" w:styleId="170">
    <w:name w:val="font71"/>
    <w:basedOn w:val="54"/>
    <w:qFormat/>
    <w:uiPriority w:val="0"/>
    <w:rPr>
      <w:rFonts w:ascii="Arial" w:hAnsi="Arial" w:cs="Arial"/>
      <w:color w:val="000000"/>
      <w:sz w:val="20"/>
      <w:szCs w:val="20"/>
      <w:u w:val="none"/>
    </w:rPr>
  </w:style>
  <w:style w:type="character" w:customStyle="1" w:styleId="171">
    <w:name w:val="font21"/>
    <w:basedOn w:val="54"/>
    <w:qFormat/>
    <w:uiPriority w:val="0"/>
    <w:rPr>
      <w:rFonts w:hint="default" w:ascii="Symbol" w:hAnsi="Symbol" w:cs="Symbol"/>
      <w:color w:val="000000"/>
      <w:sz w:val="20"/>
      <w:szCs w:val="20"/>
      <w:u w:val="none"/>
    </w:rPr>
  </w:style>
  <w:style w:type="character" w:customStyle="1" w:styleId="172">
    <w:name w:val="font91"/>
    <w:basedOn w:val="54"/>
    <w:qFormat/>
    <w:uiPriority w:val="0"/>
    <w:rPr>
      <w:rFonts w:ascii="Arial" w:hAnsi="Arial" w:cs="Arial"/>
      <w:color w:val="000000"/>
      <w:sz w:val="20"/>
      <w:szCs w:val="20"/>
      <w:u w:val="none"/>
    </w:rPr>
  </w:style>
  <w:style w:type="character" w:customStyle="1" w:styleId="173">
    <w:name w:val="font51"/>
    <w:basedOn w:val="54"/>
    <w:qFormat/>
    <w:uiPriority w:val="0"/>
    <w:rPr>
      <w:rFonts w:ascii="仿宋" w:hAnsi="仿宋" w:eastAsia="仿宋" w:cs="仿宋"/>
      <w:color w:val="000000"/>
      <w:sz w:val="21"/>
      <w:szCs w:val="21"/>
      <w:u w:val="none"/>
    </w:rPr>
  </w:style>
  <w:style w:type="character" w:customStyle="1" w:styleId="174">
    <w:name w:val="font101"/>
    <w:basedOn w:val="54"/>
    <w:qFormat/>
    <w:uiPriority w:val="0"/>
    <w:rPr>
      <w:rFonts w:hint="eastAsia" w:ascii="仿宋_GB2312" w:eastAsia="仿宋_GB2312" w:cs="仿宋_GB2312"/>
      <w:color w:val="000000"/>
      <w:sz w:val="20"/>
      <w:szCs w:val="20"/>
      <w:u w:val="none"/>
    </w:rPr>
  </w:style>
  <w:style w:type="character" w:customStyle="1" w:styleId="175">
    <w:name w:val="font61"/>
    <w:basedOn w:val="54"/>
    <w:qFormat/>
    <w:uiPriority w:val="0"/>
    <w:rPr>
      <w:rFonts w:hint="eastAsia" w:ascii="宋体" w:hAnsi="宋体" w:eastAsia="宋体" w:cs="宋体"/>
      <w:color w:val="000000"/>
      <w:sz w:val="20"/>
      <w:szCs w:val="20"/>
      <w:u w:val="none"/>
    </w:rPr>
  </w:style>
  <w:style w:type="character" w:customStyle="1" w:styleId="176">
    <w:name w:val="font81"/>
    <w:basedOn w:val="54"/>
    <w:qFormat/>
    <w:uiPriority w:val="0"/>
    <w:rPr>
      <w:rFonts w:hint="eastAsia" w:ascii="仿宋" w:hAnsi="仿宋" w:eastAsia="仿宋" w:cs="仿宋"/>
      <w:color w:val="000000"/>
      <w:sz w:val="21"/>
      <w:szCs w:val="21"/>
      <w:u w:val="none"/>
    </w:rPr>
  </w:style>
  <w:style w:type="character" w:customStyle="1" w:styleId="177">
    <w:name w:val="font111"/>
    <w:basedOn w:val="54"/>
    <w:qFormat/>
    <w:uiPriority w:val="0"/>
    <w:rPr>
      <w:rFonts w:hint="eastAsia" w:ascii="仿宋_GB2312" w:eastAsia="仿宋_GB2312" w:cs="仿宋_GB2312"/>
      <w:color w:val="000000"/>
      <w:sz w:val="21"/>
      <w:szCs w:val="21"/>
      <w:u w:val="none"/>
    </w:rPr>
  </w:style>
  <w:style w:type="character" w:customStyle="1" w:styleId="178">
    <w:name w:val="font121"/>
    <w:basedOn w:val="54"/>
    <w:qFormat/>
    <w:uiPriority w:val="0"/>
    <w:rPr>
      <w:rFonts w:ascii="Arial" w:hAnsi="Arial" w:cs="Arial"/>
      <w:color w:val="000000"/>
      <w:sz w:val="20"/>
      <w:szCs w:val="20"/>
      <w:u w:val="none"/>
    </w:rPr>
  </w:style>
  <w:style w:type="character" w:customStyle="1" w:styleId="179">
    <w:name w:val="font112"/>
    <w:basedOn w:val="54"/>
    <w:qFormat/>
    <w:uiPriority w:val="0"/>
    <w:rPr>
      <w:rFonts w:hint="eastAsia" w:ascii="仿宋_GB2312" w:eastAsia="仿宋_GB2312" w:cs="仿宋_GB2312"/>
      <w:color w:val="000000"/>
      <w:sz w:val="21"/>
      <w:szCs w:val="21"/>
      <w:u w:val="none"/>
    </w:rPr>
  </w:style>
  <w:style w:type="paragraph" w:customStyle="1" w:styleId="180">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qFormat/>
    <w:uiPriority w:val="0"/>
    <w:pPr>
      <w:spacing w:beforeLines="50"/>
      <w:ind w:firstLine="200" w:firstLineChars="200"/>
    </w:pPr>
    <w:rPr>
      <w:rFonts w:ascii="Calibri" w:hAnsi="Calibri" w:eastAsia="华文仿宋"/>
      <w:szCs w:val="22"/>
    </w:rPr>
  </w:style>
  <w:style w:type="paragraph" w:customStyle="1" w:styleId="258">
    <w:name w:val="正文A缩进"/>
    <w:basedOn w:val="1"/>
    <w:qFormat/>
    <w:uiPriority w:val="0"/>
    <w:pPr>
      <w:spacing w:line="360" w:lineRule="auto"/>
      <w:ind w:firstLine="200" w:firstLineChars="200"/>
    </w:pPr>
    <w:rPr>
      <w:kern w:val="0"/>
      <w:sz w:val="28"/>
      <w:szCs w:val="20"/>
    </w:rPr>
  </w:style>
  <w:style w:type="paragraph" w:customStyle="1" w:styleId="259">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4"/>
    <w:qFormat/>
    <w:uiPriority w:val="0"/>
    <w:rPr>
      <w:b/>
      <w:bCs/>
      <w:kern w:val="2"/>
      <w:sz w:val="28"/>
      <w:szCs w:val="28"/>
    </w:rPr>
  </w:style>
  <w:style w:type="character" w:customStyle="1" w:styleId="261">
    <w:name w:val="标题 6 Char"/>
    <w:basedOn w:val="54"/>
    <w:qFormat/>
    <w:uiPriority w:val="9"/>
    <w:rPr>
      <w:rFonts w:asciiTheme="majorHAnsi" w:hAnsiTheme="majorHAnsi" w:eastAsiaTheme="majorEastAsia" w:cstheme="majorBidi"/>
      <w:b/>
      <w:bCs/>
      <w:kern w:val="2"/>
      <w:sz w:val="24"/>
      <w:szCs w:val="24"/>
    </w:rPr>
  </w:style>
  <w:style w:type="character" w:customStyle="1" w:styleId="262">
    <w:name w:val="标题 7 Char"/>
    <w:basedOn w:val="54"/>
    <w:qFormat/>
    <w:uiPriority w:val="9"/>
    <w:rPr>
      <w:b/>
      <w:bCs/>
      <w:kern w:val="2"/>
      <w:sz w:val="24"/>
      <w:szCs w:val="24"/>
    </w:rPr>
  </w:style>
  <w:style w:type="character" w:customStyle="1" w:styleId="263">
    <w:name w:val="标题 8 Char"/>
    <w:basedOn w:val="54"/>
    <w:qFormat/>
    <w:uiPriority w:val="9"/>
    <w:rPr>
      <w:rFonts w:asciiTheme="majorHAnsi" w:hAnsiTheme="majorHAnsi" w:eastAsiaTheme="majorEastAsia" w:cstheme="majorBidi"/>
      <w:kern w:val="2"/>
      <w:sz w:val="24"/>
      <w:szCs w:val="24"/>
    </w:rPr>
  </w:style>
  <w:style w:type="character" w:customStyle="1" w:styleId="264">
    <w:name w:val="标题 9 Char"/>
    <w:basedOn w:val="54"/>
    <w:qFormat/>
    <w:uiPriority w:val="0"/>
    <w:rPr>
      <w:rFonts w:asciiTheme="majorHAnsi" w:hAnsiTheme="majorHAnsi" w:eastAsiaTheme="majorEastAsia" w:cstheme="majorBidi"/>
      <w:kern w:val="2"/>
      <w:sz w:val="21"/>
      <w:szCs w:val="21"/>
    </w:rPr>
  </w:style>
  <w:style w:type="paragraph" w:customStyle="1" w:styleId="265">
    <w:name w:val="！表格内容"/>
    <w:basedOn w:val="1"/>
    <w:qFormat/>
    <w:uiPriority w:val="0"/>
    <w:pPr>
      <w:spacing w:line="320" w:lineRule="atLeast"/>
    </w:pPr>
  </w:style>
  <w:style w:type="character" w:customStyle="1" w:styleId="266">
    <w:name w:val="页眉 Char2"/>
    <w:basedOn w:val="54"/>
    <w:qFormat/>
    <w:uiPriority w:val="99"/>
    <w:rPr>
      <w:rFonts w:ascii="Times New Roman" w:hAnsi="Times New Roman" w:eastAsia="宋体" w:cs="Times New Roman"/>
      <w:sz w:val="18"/>
      <w:szCs w:val="18"/>
    </w:rPr>
  </w:style>
  <w:style w:type="character" w:customStyle="1" w:styleId="267">
    <w:name w:val="页脚 Char1"/>
    <w:basedOn w:val="54"/>
    <w:qFormat/>
    <w:uiPriority w:val="99"/>
    <w:rPr>
      <w:rFonts w:ascii="Times New Roman" w:hAnsi="Times New Roman" w:eastAsia="宋体" w:cs="Times New Roman"/>
      <w:sz w:val="18"/>
      <w:szCs w:val="18"/>
    </w:rPr>
  </w:style>
  <w:style w:type="paragraph" w:customStyle="1" w:styleId="268">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4"/>
    <w:qFormat/>
    <w:uiPriority w:val="99"/>
    <w:rPr>
      <w:rFonts w:ascii="Times New Roman" w:hAnsi="Times New Roman" w:eastAsia="宋体" w:cs="Times New Roman"/>
      <w:szCs w:val="24"/>
    </w:rPr>
  </w:style>
  <w:style w:type="character" w:customStyle="1" w:styleId="270">
    <w:name w:val="文档结构图 Char1"/>
    <w:basedOn w:val="54"/>
    <w:qFormat/>
    <w:uiPriority w:val="0"/>
    <w:rPr>
      <w:rFonts w:ascii="宋体" w:hAnsi="Times New Roman" w:eastAsia="宋体" w:cs="Times New Roman"/>
      <w:sz w:val="18"/>
      <w:szCs w:val="18"/>
    </w:rPr>
  </w:style>
  <w:style w:type="character" w:customStyle="1" w:styleId="271">
    <w:name w:val="批注主题 Char1"/>
    <w:basedOn w:val="109"/>
    <w:qFormat/>
    <w:uiPriority w:val="0"/>
    <w:rPr>
      <w:rFonts w:ascii="Times New Roman" w:hAnsi="Times New Roman" w:eastAsia="宋体" w:cs="Times New Roman"/>
      <w:b/>
      <w:bCs/>
      <w:szCs w:val="24"/>
    </w:rPr>
  </w:style>
  <w:style w:type="character" w:customStyle="1" w:styleId="272">
    <w:name w:val="批注框文本 Char1"/>
    <w:basedOn w:val="54"/>
    <w:qFormat/>
    <w:uiPriority w:val="0"/>
    <w:rPr>
      <w:rFonts w:ascii="Times New Roman" w:hAnsi="Times New Roman" w:eastAsia="宋体" w:cs="Times New Roman"/>
      <w:sz w:val="18"/>
      <w:szCs w:val="18"/>
    </w:rPr>
  </w:style>
  <w:style w:type="character" w:customStyle="1" w:styleId="273">
    <w:name w:val="标题 1 Char1"/>
    <w:basedOn w:val="54"/>
    <w:qFormat/>
    <w:uiPriority w:val="0"/>
    <w:rPr>
      <w:b/>
      <w:bCs/>
      <w:kern w:val="44"/>
      <w:sz w:val="44"/>
      <w:szCs w:val="44"/>
    </w:rPr>
  </w:style>
  <w:style w:type="character" w:customStyle="1" w:styleId="274">
    <w:name w:val="标题 2 Char1"/>
    <w:basedOn w:val="54"/>
    <w:qFormat/>
    <w:uiPriority w:val="0"/>
    <w:rPr>
      <w:rFonts w:asciiTheme="majorHAnsi" w:hAnsiTheme="majorHAnsi" w:eastAsiaTheme="majorEastAsia" w:cstheme="majorBidi"/>
      <w:b/>
      <w:bCs/>
      <w:kern w:val="2"/>
      <w:sz w:val="32"/>
      <w:szCs w:val="32"/>
    </w:rPr>
  </w:style>
  <w:style w:type="character" w:customStyle="1" w:styleId="275">
    <w:name w:val="标题 3 Char1"/>
    <w:basedOn w:val="54"/>
    <w:qFormat/>
    <w:uiPriority w:val="99"/>
    <w:rPr>
      <w:rFonts w:ascii="宋体" w:hAnsi="Arial"/>
      <w:b/>
      <w:kern w:val="2"/>
      <w:sz w:val="28"/>
    </w:rPr>
  </w:style>
  <w:style w:type="character" w:customStyle="1" w:styleId="276">
    <w:name w:val="Char Char3"/>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qFormat/>
    <w:uiPriority w:val="0"/>
    <w:rPr>
      <w:rFonts w:eastAsia="Times New Roman"/>
      <w:sz w:val="24"/>
      <w:szCs w:val="24"/>
    </w:rPr>
  </w:style>
  <w:style w:type="paragraph" w:customStyle="1" w:styleId="278">
    <w:name w:val="正文－段落"/>
    <w:link w:val="277"/>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qFormat/>
    <w:uiPriority w:val="0"/>
    <w:rPr>
      <w:rFonts w:ascii="宋体" w:hAnsi="Courier New"/>
      <w:spacing w:val="-8"/>
      <w:kern w:val="2"/>
      <w:sz w:val="24"/>
    </w:rPr>
  </w:style>
  <w:style w:type="character" w:customStyle="1" w:styleId="280">
    <w:name w:val="日期 Char"/>
    <w:qFormat/>
    <w:uiPriority w:val="0"/>
    <w:rPr>
      <w:rFonts w:ascii="宋体" w:hAnsi="宋体"/>
      <w:sz w:val="24"/>
    </w:rPr>
  </w:style>
  <w:style w:type="character" w:customStyle="1" w:styleId="281">
    <w:name w:val="Char Char9"/>
    <w:qFormat/>
    <w:uiPriority w:val="0"/>
    <w:rPr>
      <w:rFonts w:hint="default" w:ascii="Calibri" w:hAnsi="Calibri" w:eastAsia="宋体"/>
      <w:sz w:val="18"/>
      <w:szCs w:val="18"/>
      <w:lang w:bidi="ar-SA"/>
    </w:rPr>
  </w:style>
  <w:style w:type="character" w:customStyle="1" w:styleId="282">
    <w:name w:val="Char Char17"/>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qFormat/>
    <w:uiPriority w:val="0"/>
    <w:rPr>
      <w:rFonts w:ascii="黑体" w:hAnsi="Courier New" w:eastAsia="黑体" w:cs="Courier New"/>
    </w:rPr>
  </w:style>
  <w:style w:type="character" w:customStyle="1" w:styleId="284">
    <w:name w:val="1.5倍行距 Char Char"/>
    <w:link w:val="285"/>
    <w:qFormat/>
    <w:uiPriority w:val="0"/>
    <w:rPr>
      <w:kern w:val="2"/>
      <w:sz w:val="21"/>
      <w:szCs w:val="24"/>
    </w:rPr>
  </w:style>
  <w:style w:type="paragraph" w:customStyle="1" w:styleId="285">
    <w:name w:val="1.5倍行距"/>
    <w:basedOn w:val="1"/>
    <w:link w:val="284"/>
    <w:qFormat/>
    <w:uiPriority w:val="0"/>
    <w:pPr>
      <w:spacing w:line="360" w:lineRule="auto"/>
      <w:ind w:firstLine="420"/>
    </w:pPr>
  </w:style>
  <w:style w:type="character" w:customStyle="1" w:styleId="286">
    <w:name w:val="H2 Char1"/>
    <w:qFormat/>
    <w:uiPriority w:val="0"/>
    <w:rPr>
      <w:rFonts w:ascii="Cambria" w:hAnsi="Cambria"/>
      <w:b/>
      <w:bCs/>
      <w:sz w:val="32"/>
      <w:szCs w:val="32"/>
    </w:rPr>
  </w:style>
  <w:style w:type="character" w:customStyle="1" w:styleId="287">
    <w:name w:val="Char Char4"/>
    <w:qFormat/>
    <w:uiPriority w:val="0"/>
    <w:rPr>
      <w:rFonts w:hint="default" w:ascii="Calibri" w:hAnsi="Calibri" w:eastAsia="宋体"/>
      <w:kern w:val="2"/>
      <w:sz w:val="21"/>
      <w:szCs w:val="22"/>
      <w:lang w:val="en-US" w:eastAsia="zh-CN" w:bidi="ar-SA"/>
    </w:rPr>
  </w:style>
  <w:style w:type="character" w:customStyle="1" w:styleId="288">
    <w:name w:val="正文文本缩进 2 Char"/>
    <w:qFormat/>
    <w:uiPriority w:val="0"/>
    <w:rPr>
      <w:kern w:val="2"/>
      <w:sz w:val="21"/>
    </w:rPr>
  </w:style>
  <w:style w:type="character" w:customStyle="1" w:styleId="289">
    <w:name w:val="签名 字符"/>
    <w:link w:val="36"/>
    <w:qFormat/>
    <w:uiPriority w:val="0"/>
    <w:rPr>
      <w:rFonts w:eastAsia="楷体_GB2312"/>
      <w:kern w:val="2"/>
      <w:sz w:val="21"/>
    </w:rPr>
  </w:style>
  <w:style w:type="character" w:customStyle="1" w:styleId="290">
    <w:name w:val="标题2 Char"/>
    <w:link w:val="291"/>
    <w:qFormat/>
    <w:uiPriority w:val="0"/>
    <w:rPr>
      <w:rFonts w:ascii="仿宋" w:hAnsi="仿宋" w:eastAsia="仿宋"/>
      <w:b/>
      <w:bCs/>
      <w:color w:val="000000"/>
      <w:kern w:val="2"/>
      <w:sz w:val="24"/>
      <w:szCs w:val="24"/>
    </w:rPr>
  </w:style>
  <w:style w:type="paragraph" w:customStyle="1" w:styleId="291">
    <w:name w:val="标题2"/>
    <w:basedOn w:val="292"/>
    <w:link w:val="290"/>
    <w:qFormat/>
    <w:uiPriority w:val="0"/>
    <w:pPr>
      <w:tabs>
        <w:tab w:val="left" w:pos="425"/>
        <w:tab w:val="left" w:pos="709"/>
        <w:tab w:val="left" w:pos="851"/>
        <w:tab w:val="left" w:pos="1419"/>
      </w:tabs>
    </w:pPr>
    <w:rPr>
      <w:szCs w:val="24"/>
    </w:rPr>
  </w:style>
  <w:style w:type="paragraph" w:customStyle="1" w:styleId="292">
    <w:name w:val="三级"/>
    <w:basedOn w:val="7"/>
    <w:link w:val="293"/>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qFormat/>
    <w:uiPriority w:val="0"/>
    <w:rPr>
      <w:rFonts w:ascii="仿宋" w:hAnsi="仿宋" w:eastAsia="仿宋"/>
      <w:b/>
      <w:bCs/>
      <w:color w:val="000000"/>
      <w:kern w:val="2"/>
      <w:sz w:val="32"/>
      <w:szCs w:val="32"/>
    </w:rPr>
  </w:style>
  <w:style w:type="character" w:customStyle="1" w:styleId="294">
    <w:name w:val="正文文本首行缩进 2 字符"/>
    <w:link w:val="2"/>
    <w:qFormat/>
    <w:uiPriority w:val="0"/>
    <w:rPr>
      <w:sz w:val="24"/>
      <w:szCs w:val="24"/>
    </w:rPr>
  </w:style>
  <w:style w:type="character" w:customStyle="1" w:styleId="295">
    <w:name w:val="正文首行缩进 Char Char Char1"/>
    <w:qFormat/>
    <w:uiPriority w:val="0"/>
    <w:rPr>
      <w:rFonts w:ascii="Times New Roman" w:hAnsi="Times New Roman"/>
      <w:kern w:val="2"/>
      <w:sz w:val="24"/>
      <w:szCs w:val="24"/>
    </w:rPr>
  </w:style>
  <w:style w:type="character" w:customStyle="1" w:styleId="296">
    <w:name w:val="标题 Char1"/>
    <w:qFormat/>
    <w:uiPriority w:val="0"/>
    <w:rPr>
      <w:rFonts w:ascii="Arial" w:hAnsi="Arial"/>
      <w:b/>
      <w:kern w:val="2"/>
      <w:sz w:val="36"/>
      <w:szCs w:val="24"/>
    </w:rPr>
  </w:style>
  <w:style w:type="character" w:customStyle="1" w:styleId="297">
    <w:name w:val="正文文本 字符"/>
    <w:qFormat/>
    <w:uiPriority w:val="0"/>
    <w:rPr>
      <w:rFonts w:eastAsia="宋体"/>
      <w:kern w:val="2"/>
      <w:sz w:val="21"/>
      <w:szCs w:val="24"/>
      <w:lang w:bidi="ar-SA"/>
    </w:rPr>
  </w:style>
  <w:style w:type="character" w:customStyle="1" w:styleId="298">
    <w:name w:val="正文文本缩进 Char"/>
    <w:qFormat/>
    <w:uiPriority w:val="0"/>
    <w:rPr>
      <w:kern w:val="2"/>
      <w:sz w:val="24"/>
    </w:rPr>
  </w:style>
  <w:style w:type="character" w:customStyle="1" w:styleId="299">
    <w:name w:val="题注 字符"/>
    <w:link w:val="19"/>
    <w:qFormat/>
    <w:uiPriority w:val="0"/>
    <w:rPr>
      <w:rFonts w:ascii="Cambria" w:hAnsi="Cambria" w:eastAsia="黑体"/>
      <w:kern w:val="2"/>
      <w:sz w:val="21"/>
      <w:szCs w:val="24"/>
    </w:rPr>
  </w:style>
  <w:style w:type="character" w:customStyle="1" w:styleId="300">
    <w:name w:val="bt Char1"/>
    <w:qFormat/>
    <w:uiPriority w:val="0"/>
    <w:rPr>
      <w:rFonts w:ascii="Times New Roman" w:hAnsi="Times New Roman"/>
      <w:kern w:val="2"/>
      <w:sz w:val="24"/>
      <w:szCs w:val="24"/>
    </w:rPr>
  </w:style>
  <w:style w:type="character" w:customStyle="1" w:styleId="301">
    <w:name w:val="Char Char18"/>
    <w:qFormat/>
    <w:uiPriority w:val="0"/>
    <w:rPr>
      <w:rFonts w:hint="default" w:ascii="Cambria" w:hAnsi="Cambria" w:eastAsia="宋体"/>
      <w:b/>
      <w:bCs/>
      <w:sz w:val="32"/>
      <w:szCs w:val="32"/>
      <w:lang w:bidi="ar-SA"/>
    </w:rPr>
  </w:style>
  <w:style w:type="character" w:customStyle="1" w:styleId="302">
    <w:name w:val="四级 Char"/>
    <w:link w:val="303"/>
    <w:qFormat/>
    <w:uiPriority w:val="0"/>
    <w:rPr>
      <w:rFonts w:ascii="仿宋" w:hAnsi="仿宋" w:eastAsia="仿宋"/>
      <w:bCs/>
      <w:kern w:val="2"/>
      <w:sz w:val="32"/>
      <w:szCs w:val="32"/>
    </w:rPr>
  </w:style>
  <w:style w:type="paragraph" w:customStyle="1" w:styleId="303">
    <w:name w:val="四级"/>
    <w:basedOn w:val="9"/>
    <w:link w:val="302"/>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4"/>
    <w:qFormat/>
    <w:uiPriority w:val="0"/>
  </w:style>
  <w:style w:type="character" w:customStyle="1" w:styleId="305">
    <w:name w:val="p141"/>
    <w:qFormat/>
    <w:uiPriority w:val="0"/>
    <w:rPr>
      <w:sz w:val="21"/>
      <w:szCs w:val="21"/>
    </w:rPr>
  </w:style>
  <w:style w:type="character" w:customStyle="1" w:styleId="306">
    <w:name w:val="正文文本缩进 3 Char"/>
    <w:qFormat/>
    <w:uiPriority w:val="0"/>
    <w:rPr>
      <w:kern w:val="2"/>
      <w:sz w:val="21"/>
    </w:rPr>
  </w:style>
  <w:style w:type="character" w:customStyle="1" w:styleId="307">
    <w:name w:val="Char Char13"/>
    <w:qFormat/>
    <w:uiPriority w:val="0"/>
    <w:rPr>
      <w:rFonts w:ascii="Cambria" w:hAnsi="Cambria" w:eastAsia="宋体"/>
      <w:sz w:val="24"/>
      <w:szCs w:val="24"/>
      <w:lang w:bidi="ar-SA"/>
    </w:rPr>
  </w:style>
  <w:style w:type="character" w:customStyle="1" w:styleId="308">
    <w:name w:val="正文文本 2 字符"/>
    <w:link w:val="46"/>
    <w:qFormat/>
    <w:uiPriority w:val="0"/>
    <w:rPr>
      <w:kern w:val="2"/>
      <w:sz w:val="28"/>
    </w:rPr>
  </w:style>
  <w:style w:type="character" w:customStyle="1" w:styleId="309">
    <w:name w:val="Char Char5"/>
    <w:qFormat/>
    <w:uiPriority w:val="0"/>
    <w:rPr>
      <w:rFonts w:ascii="宋体" w:hAnsi="宋体" w:eastAsia="宋体"/>
      <w:b/>
      <w:bCs/>
      <w:szCs w:val="24"/>
      <w:lang w:bidi="ar-SA"/>
    </w:rPr>
  </w:style>
  <w:style w:type="character" w:customStyle="1" w:styleId="310">
    <w:name w:val="正文文本 2 Char"/>
    <w:qFormat/>
    <w:uiPriority w:val="0"/>
    <w:rPr>
      <w:kern w:val="2"/>
      <w:sz w:val="28"/>
    </w:rPr>
  </w:style>
  <w:style w:type="character" w:customStyle="1" w:styleId="311">
    <w:name w:val="Char Char6"/>
    <w:qFormat/>
    <w:uiPriority w:val="0"/>
    <w:rPr>
      <w:rFonts w:ascii="宋体" w:hAnsi="宋体" w:eastAsia="宋体"/>
      <w:szCs w:val="24"/>
      <w:lang w:bidi="ar-SA"/>
    </w:rPr>
  </w:style>
  <w:style w:type="character" w:customStyle="1" w:styleId="312">
    <w:name w:val="Char Char15"/>
    <w:qFormat/>
    <w:uiPriority w:val="0"/>
    <w:rPr>
      <w:rFonts w:hint="default" w:ascii="Cambria" w:hAnsi="Cambria" w:eastAsia="宋体"/>
      <w:b/>
      <w:bCs/>
      <w:sz w:val="24"/>
      <w:szCs w:val="24"/>
      <w:lang w:bidi="ar-SA"/>
    </w:rPr>
  </w:style>
  <w:style w:type="character" w:customStyle="1" w:styleId="313">
    <w:name w:val="H4 Char"/>
    <w:qFormat/>
    <w:uiPriority w:val="0"/>
    <w:rPr>
      <w:rFonts w:ascii="Cambria" w:hAnsi="Cambria" w:eastAsia="仿宋_GB2312"/>
      <w:b/>
      <w:bCs/>
      <w:sz w:val="32"/>
      <w:szCs w:val="28"/>
    </w:rPr>
  </w:style>
  <w:style w:type="character" w:customStyle="1" w:styleId="314">
    <w:name w:val="Char Char20"/>
    <w:qFormat/>
    <w:uiPriority w:val="0"/>
    <w:rPr>
      <w:rFonts w:eastAsia="宋体"/>
      <w:b/>
      <w:kern w:val="2"/>
      <w:sz w:val="28"/>
      <w:lang w:bidi="ar-SA"/>
    </w:rPr>
  </w:style>
  <w:style w:type="character" w:customStyle="1" w:styleId="315">
    <w:name w:val="正文文本缩进 3 字符"/>
    <w:link w:val="43"/>
    <w:qFormat/>
    <w:uiPriority w:val="0"/>
    <w:rPr>
      <w:kern w:val="2"/>
      <w:sz w:val="21"/>
    </w:rPr>
  </w:style>
  <w:style w:type="character" w:customStyle="1" w:styleId="316">
    <w:name w:val="Char Char16"/>
    <w:qFormat/>
    <w:uiPriority w:val="0"/>
    <w:rPr>
      <w:rFonts w:hint="eastAsia" w:ascii="仿宋_GB2313" w:hAnsi="仿宋_GB2313" w:eastAsia="仿宋_GB2312"/>
      <w:b/>
      <w:bCs/>
      <w:sz w:val="32"/>
      <w:szCs w:val="28"/>
      <w:lang w:bidi="ar-SA"/>
    </w:rPr>
  </w:style>
  <w:style w:type="character" w:customStyle="1" w:styleId="317">
    <w:name w:val="Char Char7"/>
    <w:qFormat/>
    <w:uiPriority w:val="0"/>
    <w:rPr>
      <w:rFonts w:ascii="宋体" w:hAnsi="宋体" w:eastAsia="宋体"/>
      <w:sz w:val="24"/>
      <w:szCs w:val="24"/>
      <w:lang w:bidi="ar-SA"/>
    </w:rPr>
  </w:style>
  <w:style w:type="character" w:customStyle="1" w:styleId="318">
    <w:name w:val="日期 字符"/>
    <w:link w:val="31"/>
    <w:qFormat/>
    <w:uiPriority w:val="0"/>
    <w:rPr>
      <w:rFonts w:ascii="宋体" w:hAnsi="宋体"/>
      <w:kern w:val="2"/>
      <w:sz w:val="24"/>
      <w:szCs w:val="24"/>
    </w:rPr>
  </w:style>
  <w:style w:type="character" w:customStyle="1" w:styleId="319">
    <w:name w:val="Char Char12"/>
    <w:qFormat/>
    <w:uiPriority w:val="0"/>
    <w:rPr>
      <w:rFonts w:hint="default" w:ascii="Cambria" w:hAnsi="Cambria" w:eastAsia="宋体"/>
      <w:szCs w:val="21"/>
      <w:lang w:bidi="ar-SA"/>
    </w:rPr>
  </w:style>
  <w:style w:type="character" w:customStyle="1" w:styleId="320">
    <w:name w:val="标题 4 Char"/>
    <w:qFormat/>
    <w:uiPriority w:val="0"/>
    <w:rPr>
      <w:rFonts w:ascii="Arial" w:hAnsi="Arial" w:eastAsia="黑体"/>
      <w:b/>
      <w:kern w:val="2"/>
      <w:sz w:val="24"/>
    </w:rPr>
  </w:style>
  <w:style w:type="character" w:customStyle="1" w:styleId="321">
    <w:name w:val="Char Char2"/>
    <w:qFormat/>
    <w:uiPriority w:val="0"/>
    <w:rPr>
      <w:rFonts w:ascii="宋体" w:hAnsi="宋体" w:eastAsia="宋体"/>
      <w:kern w:val="2"/>
      <w:sz w:val="24"/>
      <w:szCs w:val="24"/>
      <w:lang w:val="en-US" w:eastAsia="zh-CN" w:bidi="ar-SA"/>
    </w:rPr>
  </w:style>
  <w:style w:type="character" w:customStyle="1" w:styleId="322">
    <w:name w:val="*正文 Char"/>
    <w:link w:val="323"/>
    <w:qFormat/>
    <w:uiPriority w:val="0"/>
    <w:rPr>
      <w:rFonts w:ascii="宋体" w:hAnsi="宋体"/>
      <w:sz w:val="24"/>
      <w:szCs w:val="24"/>
    </w:rPr>
  </w:style>
  <w:style w:type="paragraph" w:customStyle="1" w:styleId="323">
    <w:name w:val="*正文"/>
    <w:basedOn w:val="1"/>
    <w:link w:val="322"/>
    <w:qFormat/>
    <w:uiPriority w:val="0"/>
    <w:pPr>
      <w:spacing w:line="360" w:lineRule="auto"/>
      <w:ind w:firstLine="200" w:firstLineChars="200"/>
    </w:pPr>
    <w:rPr>
      <w:rFonts w:ascii="宋体" w:hAnsi="宋体"/>
      <w:kern w:val="0"/>
      <w:sz w:val="24"/>
    </w:rPr>
  </w:style>
  <w:style w:type="character" w:customStyle="1" w:styleId="324">
    <w:name w:val="页脚 字符1"/>
    <w:qFormat/>
    <w:uiPriority w:val="0"/>
    <w:rPr>
      <w:rFonts w:eastAsia="宋体"/>
      <w:kern w:val="2"/>
      <w:sz w:val="18"/>
      <w:lang w:bidi="ar-SA"/>
    </w:rPr>
  </w:style>
  <w:style w:type="character" w:customStyle="1" w:styleId="325">
    <w:name w:val="GP正文[858D7CFB-ED40-4347-BF05-701D383B685F]"/>
    <w:link w:val="326"/>
    <w:qFormat/>
    <w:uiPriority w:val="0"/>
    <w:rPr>
      <w:rFonts w:ascii="宋体" w:hAnsi="宋体"/>
      <w:kern w:val="2"/>
      <w:sz w:val="24"/>
      <w:szCs w:val="24"/>
    </w:rPr>
  </w:style>
  <w:style w:type="paragraph" w:customStyle="1" w:styleId="326">
    <w:name w:val="GP正文"/>
    <w:basedOn w:val="1"/>
    <w:link w:val="325"/>
    <w:qFormat/>
    <w:uiPriority w:val="0"/>
    <w:pPr>
      <w:spacing w:line="360" w:lineRule="auto"/>
      <w:ind w:firstLine="200" w:firstLineChars="200"/>
      <w:jc w:val="left"/>
    </w:pPr>
    <w:rPr>
      <w:rFonts w:ascii="宋体" w:hAnsi="宋体"/>
      <w:sz w:val="24"/>
    </w:rPr>
  </w:style>
  <w:style w:type="character" w:customStyle="1" w:styleId="327">
    <w:name w:val="Char Char14"/>
    <w:qFormat/>
    <w:uiPriority w:val="0"/>
    <w:rPr>
      <w:rFonts w:ascii="Calibri" w:hAnsi="Calibri" w:eastAsia="宋体"/>
      <w:b/>
      <w:bCs/>
      <w:sz w:val="24"/>
      <w:szCs w:val="24"/>
      <w:lang w:bidi="ar-SA"/>
    </w:rPr>
  </w:style>
  <w:style w:type="character" w:customStyle="1" w:styleId="328">
    <w:name w:val="Char Char19"/>
    <w:qFormat/>
    <w:uiPriority w:val="0"/>
    <w:rPr>
      <w:rFonts w:ascii="Arial" w:hAnsi="Arial" w:eastAsia="黑体"/>
      <w:b/>
      <w:kern w:val="2"/>
      <w:sz w:val="24"/>
      <w:lang w:bidi="ar-SA"/>
    </w:rPr>
  </w:style>
  <w:style w:type="character" w:customStyle="1" w:styleId="329">
    <w:name w:val="正文文本 Char1"/>
    <w:qFormat/>
    <w:uiPriority w:val="0"/>
    <w:rPr>
      <w:kern w:val="2"/>
      <w:sz w:val="21"/>
      <w:szCs w:val="24"/>
    </w:rPr>
  </w:style>
  <w:style w:type="character" w:customStyle="1" w:styleId="330">
    <w:name w:val="二级 Char"/>
    <w:link w:val="331"/>
    <w:qFormat/>
    <w:uiPriority w:val="0"/>
    <w:rPr>
      <w:rFonts w:ascii="仿宋" w:hAnsi="仿宋" w:eastAsia="仿宋"/>
      <w:b/>
      <w:bCs/>
      <w:spacing w:val="24"/>
      <w:kern w:val="2"/>
      <w:sz w:val="32"/>
      <w:szCs w:val="32"/>
    </w:rPr>
  </w:style>
  <w:style w:type="paragraph" w:customStyle="1" w:styleId="331">
    <w:name w:val="二级"/>
    <w:basedOn w:val="8"/>
    <w:link w:val="330"/>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qFormat/>
    <w:uiPriority w:val="0"/>
    <w:rPr>
      <w:rFonts w:eastAsia="楷体_GB2312"/>
      <w:kern w:val="2"/>
      <w:sz w:val="21"/>
    </w:rPr>
  </w:style>
  <w:style w:type="character" w:customStyle="1" w:styleId="333">
    <w:name w:val="Char Char"/>
    <w:qFormat/>
    <w:uiPriority w:val="0"/>
    <w:rPr>
      <w:rFonts w:hint="eastAsia" w:ascii="宋体" w:hAnsi="Courier New" w:eastAsia="宋体"/>
      <w:spacing w:val="-8"/>
      <w:kern w:val="2"/>
      <w:sz w:val="24"/>
      <w:lang w:val="en-US" w:eastAsia="zh-CN" w:bidi="ar-SA"/>
    </w:rPr>
  </w:style>
  <w:style w:type="character" w:customStyle="1" w:styleId="334">
    <w:name w:val="Char Char11"/>
    <w:qFormat/>
    <w:uiPriority w:val="0"/>
    <w:rPr>
      <w:rFonts w:hint="default" w:ascii="Calibri" w:hAnsi="Calibri" w:eastAsia="宋体"/>
      <w:sz w:val="18"/>
      <w:szCs w:val="18"/>
      <w:lang w:bidi="ar-SA"/>
    </w:rPr>
  </w:style>
  <w:style w:type="character" w:customStyle="1" w:styleId="335">
    <w:name w:val="页眉 字符1"/>
    <w:qFormat/>
    <w:uiPriority w:val="0"/>
    <w:rPr>
      <w:rFonts w:eastAsia="宋体"/>
      <w:kern w:val="2"/>
      <w:sz w:val="18"/>
      <w:szCs w:val="18"/>
      <w:lang w:bidi="ar-SA"/>
    </w:rPr>
  </w:style>
  <w:style w:type="character" w:customStyle="1" w:styleId="336">
    <w:name w:val="正文首行缩进 Char1"/>
    <w:qFormat/>
    <w:uiPriority w:val="0"/>
    <w:rPr>
      <w:kern w:val="2"/>
      <w:sz w:val="21"/>
    </w:rPr>
  </w:style>
  <w:style w:type="character" w:customStyle="1" w:styleId="337">
    <w:name w:val="页眉 Char1"/>
    <w:qFormat/>
    <w:uiPriority w:val="0"/>
    <w:rPr>
      <w:rFonts w:eastAsia="宋体"/>
      <w:kern w:val="2"/>
      <w:sz w:val="18"/>
      <w:szCs w:val="18"/>
      <w:lang w:val="en-US" w:eastAsia="zh-CN" w:bidi="ar-SA"/>
    </w:rPr>
  </w:style>
  <w:style w:type="character" w:customStyle="1" w:styleId="338">
    <w:name w:val="题注 Char"/>
    <w:qFormat/>
    <w:uiPriority w:val="0"/>
    <w:rPr>
      <w:rFonts w:ascii="Cambria" w:hAnsi="Cambria" w:eastAsia="黑体"/>
      <w:kern w:val="2"/>
      <w:lang w:bidi="ar-SA"/>
    </w:rPr>
  </w:style>
  <w:style w:type="character" w:customStyle="1" w:styleId="339">
    <w:name w:val="样式 标题 3 + 小四 Char"/>
    <w:qFormat/>
    <w:uiPriority w:val="0"/>
    <w:rPr>
      <w:rFonts w:ascii="宋体" w:hAnsi="宋体" w:cs="Arial"/>
      <w:b/>
      <w:bCs/>
      <w:smallCaps/>
      <w:sz w:val="24"/>
      <w:lang w:val="en-US" w:eastAsia="zh-CN"/>
    </w:rPr>
  </w:style>
  <w:style w:type="character" w:customStyle="1" w:styleId="340">
    <w:name w:val="unnamed21"/>
    <w:qFormat/>
    <w:uiPriority w:val="0"/>
    <w:rPr>
      <w:color w:val="CC6633"/>
      <w:u w:val="none"/>
    </w:rPr>
  </w:style>
  <w:style w:type="character" w:customStyle="1" w:styleId="341">
    <w:name w:val="16"/>
    <w:qFormat/>
    <w:uiPriority w:val="0"/>
    <w:rPr>
      <w:rFonts w:hint="eastAsia" w:ascii="宋体" w:hAnsi="宋体" w:eastAsia="宋体" w:cs="Arial"/>
      <w:b/>
      <w:bCs/>
      <w:smallCaps/>
      <w:kern w:val="2"/>
      <w:sz w:val="24"/>
      <w:szCs w:val="24"/>
    </w:rPr>
  </w:style>
  <w:style w:type="character" w:customStyle="1" w:styleId="342">
    <w:name w:val="正文文本缩进 字符"/>
    <w:qFormat/>
    <w:uiPriority w:val="0"/>
    <w:rPr>
      <w:rFonts w:eastAsia="宋体"/>
      <w:kern w:val="2"/>
      <w:sz w:val="24"/>
      <w:lang w:bidi="ar-SA"/>
    </w:rPr>
  </w:style>
  <w:style w:type="character" w:customStyle="1" w:styleId="343">
    <w:name w:val="Char Char8"/>
    <w:qFormat/>
    <w:uiPriority w:val="0"/>
    <w:rPr>
      <w:rFonts w:hint="default" w:ascii="Calibri" w:hAnsi="Calibri" w:eastAsia="宋体"/>
      <w:kern w:val="2"/>
      <w:sz w:val="21"/>
      <w:szCs w:val="22"/>
      <w:lang w:val="en-US" w:eastAsia="zh-CN" w:bidi="ar-SA"/>
    </w:rPr>
  </w:style>
  <w:style w:type="character" w:customStyle="1" w:styleId="344">
    <w:name w:val="H3 Char1"/>
    <w:qFormat/>
    <w:uiPriority w:val="0"/>
    <w:rPr>
      <w:rFonts w:ascii="仿宋_GB2312" w:eastAsia="仿宋_GB2312"/>
      <w:b/>
      <w:bCs/>
      <w:color w:val="000000"/>
      <w:kern w:val="2"/>
      <w:sz w:val="32"/>
      <w:szCs w:val="32"/>
    </w:rPr>
  </w:style>
  <w:style w:type="character" w:customStyle="1" w:styleId="345">
    <w:name w:val="Char Char1"/>
    <w:qFormat/>
    <w:uiPriority w:val="0"/>
    <w:rPr>
      <w:rFonts w:hint="eastAsia" w:ascii="宋体" w:hAnsi="宋体" w:eastAsia="宋体"/>
      <w:kern w:val="2"/>
      <w:sz w:val="21"/>
      <w:szCs w:val="24"/>
      <w:lang w:val="en-US" w:eastAsia="zh-CN" w:bidi="ar-SA"/>
    </w:rPr>
  </w:style>
  <w:style w:type="character" w:customStyle="1" w:styleId="346">
    <w:name w:val="Char Char10"/>
    <w:qFormat/>
    <w:uiPriority w:val="0"/>
    <w:rPr>
      <w:rFonts w:eastAsia="宋体"/>
      <w:kern w:val="2"/>
      <w:sz w:val="18"/>
      <w:szCs w:val="18"/>
      <w:lang w:val="en-US" w:eastAsia="zh-CN" w:bidi="ar-SA"/>
    </w:rPr>
  </w:style>
  <w:style w:type="character" w:customStyle="1" w:styleId="347">
    <w:name w:val="文档正文 Char"/>
    <w:link w:val="348"/>
    <w:qFormat/>
    <w:uiPriority w:val="0"/>
    <w:rPr>
      <w:rFonts w:ascii="Arial" w:hAnsi="Arial" w:cs="Arial"/>
      <w:bCs/>
      <w:kern w:val="2"/>
      <w:sz w:val="24"/>
      <w:szCs w:val="24"/>
    </w:rPr>
  </w:style>
  <w:style w:type="paragraph" w:customStyle="1" w:styleId="348">
    <w:name w:val="文档正文"/>
    <w:basedOn w:val="1"/>
    <w:link w:val="347"/>
    <w:qFormat/>
    <w:uiPriority w:val="0"/>
    <w:rPr>
      <w:rFonts w:ascii="Arial" w:hAnsi="Arial" w:cs="Arial"/>
      <w:bCs/>
      <w:sz w:val="24"/>
    </w:rPr>
  </w:style>
  <w:style w:type="character" w:customStyle="1" w:styleId="349">
    <w:name w:val="正文文本 2 Char2"/>
    <w:basedOn w:val="54"/>
    <w:semiHidden/>
    <w:qFormat/>
    <w:uiPriority w:val="0"/>
    <w:rPr>
      <w:kern w:val="2"/>
      <w:sz w:val="21"/>
      <w:szCs w:val="24"/>
    </w:rPr>
  </w:style>
  <w:style w:type="character" w:customStyle="1" w:styleId="350">
    <w:name w:val="标题 字符1"/>
    <w:basedOn w:val="54"/>
    <w:qFormat/>
    <w:uiPriority w:val="10"/>
    <w:rPr>
      <w:rFonts w:asciiTheme="majorHAnsi" w:hAnsiTheme="majorHAnsi" w:eastAsiaTheme="majorEastAsia" w:cstheme="majorBidi"/>
      <w:b/>
      <w:bCs/>
      <w:kern w:val="2"/>
      <w:sz w:val="32"/>
      <w:szCs w:val="32"/>
    </w:rPr>
  </w:style>
  <w:style w:type="character" w:customStyle="1" w:styleId="351">
    <w:name w:val="正文首行缩进 2 Char1"/>
    <w:basedOn w:val="76"/>
    <w:qFormat/>
    <w:uiPriority w:val="0"/>
    <w:rPr>
      <w:kern w:val="2"/>
      <w:sz w:val="21"/>
      <w:szCs w:val="24"/>
    </w:rPr>
  </w:style>
  <w:style w:type="character" w:customStyle="1" w:styleId="352">
    <w:name w:val="签名 Char2"/>
    <w:basedOn w:val="54"/>
    <w:semiHidden/>
    <w:qFormat/>
    <w:uiPriority w:val="0"/>
    <w:rPr>
      <w:kern w:val="2"/>
      <w:sz w:val="21"/>
      <w:szCs w:val="24"/>
    </w:rPr>
  </w:style>
  <w:style w:type="character" w:customStyle="1" w:styleId="353">
    <w:name w:val="正文文本缩进 3 Char2"/>
    <w:basedOn w:val="54"/>
    <w:semiHidden/>
    <w:qFormat/>
    <w:uiPriority w:val="0"/>
    <w:rPr>
      <w:kern w:val="2"/>
      <w:sz w:val="16"/>
      <w:szCs w:val="16"/>
    </w:rPr>
  </w:style>
  <w:style w:type="character" w:customStyle="1" w:styleId="354">
    <w:name w:val="日期 Char2"/>
    <w:basedOn w:val="54"/>
    <w:semiHidden/>
    <w:qFormat/>
    <w:uiPriority w:val="0"/>
    <w:rPr>
      <w:kern w:val="2"/>
      <w:sz w:val="21"/>
      <w:szCs w:val="24"/>
    </w:rPr>
  </w:style>
  <w:style w:type="paragraph" w:customStyle="1" w:styleId="35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Table Heading"/>
    <w:basedOn w:val="1"/>
    <w:qFormat/>
    <w:uiPriority w:val="0"/>
    <w:pPr>
      <w:widowControl/>
      <w:jc w:val="center"/>
    </w:pPr>
    <w:rPr>
      <w:rFonts w:ascii="Arial" w:hAnsi="Arial"/>
      <w:b/>
      <w:kern w:val="0"/>
      <w:sz w:val="18"/>
      <w:szCs w:val="20"/>
    </w:rPr>
  </w:style>
  <w:style w:type="paragraph" w:customStyle="1" w:styleId="361">
    <w:name w:val="4"/>
    <w:basedOn w:val="1"/>
    <w:next w:val="1"/>
    <w:qFormat/>
    <w:uiPriority w:val="0"/>
  </w:style>
  <w:style w:type="paragraph" w:customStyle="1" w:styleId="3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3">
    <w:name w:val="--规划正文"/>
    <w:basedOn w:val="1"/>
    <w:qFormat/>
    <w:uiPriority w:val="0"/>
    <w:pPr>
      <w:spacing w:line="360" w:lineRule="auto"/>
      <w:ind w:firstLine="200" w:firstLineChars="200"/>
    </w:pPr>
    <w:rPr>
      <w:szCs w:val="20"/>
    </w:rPr>
  </w:style>
  <w:style w:type="paragraph" w:customStyle="1" w:styleId="364">
    <w:name w:val="样式 标题 5H5dashdsddh5PIM 5口一heading 5Titre5Table label...3"/>
    <w:basedOn w:val="10"/>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5">
    <w:name w:val="修订1"/>
    <w:qFormat/>
    <w:uiPriority w:val="99"/>
    <w:rPr>
      <w:rFonts w:ascii="Times New Roman" w:hAnsi="Times New Roman" w:eastAsia="宋体" w:cs="Times New Roman"/>
      <w:kern w:val="2"/>
      <w:sz w:val="21"/>
      <w:szCs w:val="22"/>
      <w:lang w:val="en-US" w:eastAsia="zh-CN" w:bidi="ar-SA"/>
    </w:rPr>
  </w:style>
  <w:style w:type="paragraph" w:customStyle="1" w:styleId="366">
    <w:name w:val="样式2"/>
    <w:basedOn w:val="28"/>
    <w:qFormat/>
    <w:uiPriority w:val="0"/>
    <w:pPr>
      <w:tabs>
        <w:tab w:val="right" w:leader="dot" w:pos="9458"/>
      </w:tabs>
    </w:pPr>
    <w:rPr>
      <w:rFonts w:ascii="Arial" w:cs="Arial"/>
      <w:i/>
    </w:rPr>
  </w:style>
  <w:style w:type="paragraph" w:customStyle="1" w:styleId="3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8">
    <w:name w:val="l2"/>
    <w:basedOn w:val="1"/>
    <w:qFormat/>
    <w:uiPriority w:val="0"/>
    <w:pPr>
      <w:keepLines/>
      <w:widowControl/>
      <w:spacing w:beforeLines="50" w:afterLines="50" w:line="300" w:lineRule="auto"/>
    </w:pPr>
    <w:rPr>
      <w:rFonts w:ascii="Arial" w:hAnsi="Arial"/>
      <w:bCs/>
    </w:rPr>
  </w:style>
  <w:style w:type="paragraph" w:customStyle="1" w:styleId="369">
    <w:name w:val="样式5"/>
    <w:basedOn w:val="370"/>
    <w:next w:val="370"/>
    <w:qFormat/>
    <w:uiPriority w:val="0"/>
    <w:pPr>
      <w:tabs>
        <w:tab w:val="right" w:leader="dot" w:pos="9458"/>
      </w:tabs>
    </w:pPr>
  </w:style>
  <w:style w:type="paragraph" w:customStyle="1" w:styleId="370">
    <w:name w:val="样式4"/>
    <w:basedOn w:val="37"/>
    <w:qFormat/>
    <w:uiPriority w:val="0"/>
    <w:pPr>
      <w:tabs>
        <w:tab w:val="right" w:leader="dot" w:pos="9458"/>
      </w:tabs>
    </w:pPr>
    <w:rPr>
      <w:b w:val="0"/>
    </w:rPr>
  </w:style>
  <w:style w:type="paragraph" w:customStyle="1" w:styleId="371">
    <w:name w:val="TOC 标题1"/>
    <w:basedOn w:val="6"/>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3">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able Body"/>
    <w:basedOn w:val="1"/>
    <w:qFormat/>
    <w:uiPriority w:val="0"/>
    <w:pPr>
      <w:widowControl/>
      <w:jc w:val="center"/>
    </w:pPr>
    <w:rPr>
      <w:rFonts w:ascii="Arial" w:hAnsi="Arial"/>
      <w:snapToGrid w:val="0"/>
      <w:kern w:val="0"/>
      <w:sz w:val="18"/>
      <w:szCs w:val="20"/>
    </w:rPr>
  </w:style>
  <w:style w:type="paragraph" w:customStyle="1" w:styleId="37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9">
    <w:name w:val="签名 - 公司"/>
    <w:basedOn w:val="36"/>
    <w:next w:val="38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80">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4">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6">
    <w:name w:val="正文缩进1"/>
    <w:basedOn w:val="1"/>
    <w:qFormat/>
    <w:uiPriority w:val="0"/>
    <w:pPr>
      <w:ind w:firstLine="567"/>
    </w:pPr>
    <w:rPr>
      <w:spacing w:val="20"/>
      <w:sz w:val="24"/>
      <w:szCs w:val="20"/>
    </w:rPr>
  </w:style>
  <w:style w:type="paragraph" w:customStyle="1" w:styleId="387">
    <w:name w:val="_正文"/>
    <w:basedOn w:val="1"/>
    <w:qFormat/>
    <w:uiPriority w:val="99"/>
    <w:pPr>
      <w:spacing w:line="360" w:lineRule="auto"/>
      <w:ind w:firstLine="200" w:firstLineChars="200"/>
    </w:pPr>
    <w:rPr>
      <w:rFonts w:ascii="宋体" w:hAnsi="宋体"/>
      <w:sz w:val="24"/>
    </w:rPr>
  </w:style>
  <w:style w:type="paragraph" w:customStyle="1" w:styleId="38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9">
    <w:name w:val="列出段落6"/>
    <w:basedOn w:val="1"/>
    <w:qFormat/>
    <w:uiPriority w:val="0"/>
    <w:pPr>
      <w:ind w:firstLine="420" w:firstLineChars="200"/>
    </w:pPr>
    <w:rPr>
      <w:rFonts w:ascii="仿宋_GB2312" w:eastAsia="仿宋_GB2312" w:cs="宋体"/>
      <w:spacing w:val="6"/>
      <w:sz w:val="30"/>
      <w:szCs w:val="30"/>
    </w:rPr>
  </w:style>
  <w:style w:type="paragraph" w:customStyle="1" w:styleId="390">
    <w:name w:val="_Style 15"/>
    <w:basedOn w:val="1"/>
    <w:qFormat/>
    <w:uiPriority w:val="0"/>
  </w:style>
  <w:style w:type="paragraph" w:customStyle="1" w:styleId="39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
    <w:name w:val="样式 标题 4 + 加粗"/>
    <w:basedOn w:val="9"/>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8">
    <w:name w:val="样式"/>
    <w:basedOn w:val="1"/>
    <w:next w:val="25"/>
    <w:qFormat/>
    <w:uiPriority w:val="0"/>
    <w:pPr>
      <w:ind w:left="572" w:right="32" w:firstLine="478"/>
    </w:pPr>
    <w:rPr>
      <w:szCs w:val="21"/>
    </w:rPr>
  </w:style>
  <w:style w:type="paragraph" w:customStyle="1" w:styleId="399">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400">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1">
    <w:name w:val="图表"/>
    <w:basedOn w:val="1"/>
    <w:qFormat/>
    <w:uiPriority w:val="0"/>
    <w:pPr>
      <w:spacing w:line="360" w:lineRule="auto"/>
      <w:ind w:hanging="420"/>
      <w:jc w:val="center"/>
    </w:pPr>
    <w:rPr>
      <w:sz w:val="24"/>
      <w:szCs w:val="20"/>
    </w:rPr>
  </w:style>
  <w:style w:type="paragraph" w:customStyle="1" w:styleId="40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3">
    <w:name w:val="正文_0"/>
    <w:basedOn w:val="1"/>
    <w:qFormat/>
    <w:uiPriority w:val="0"/>
  </w:style>
  <w:style w:type="paragraph" w:customStyle="1" w:styleId="40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6">
    <w:name w:val="简单回函地址"/>
    <w:basedOn w:val="1"/>
    <w:qFormat/>
    <w:uiPriority w:val="0"/>
  </w:style>
  <w:style w:type="paragraph" w:customStyle="1" w:styleId="4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8">
    <w:name w:val="样式3"/>
    <w:basedOn w:val="28"/>
    <w:qFormat/>
    <w:uiPriority w:val="0"/>
    <w:pPr>
      <w:tabs>
        <w:tab w:val="right" w:leader="dot" w:pos="9458"/>
      </w:tabs>
    </w:pPr>
    <w:rPr>
      <w:i/>
    </w:rPr>
  </w:style>
  <w:style w:type="paragraph" w:customStyle="1" w:styleId="409">
    <w:name w:val="msolistparagraph"/>
    <w:basedOn w:val="1"/>
    <w:qFormat/>
    <w:uiPriority w:val="0"/>
    <w:pPr>
      <w:ind w:firstLine="420" w:firstLineChars="200"/>
    </w:pPr>
    <w:rPr>
      <w:rFonts w:ascii="Calibri" w:hAnsi="Calibri"/>
      <w:szCs w:val="22"/>
    </w:rPr>
  </w:style>
  <w:style w:type="paragraph" w:customStyle="1" w:styleId="410">
    <w:name w:val="Char Char16 Char Char"/>
    <w:basedOn w:val="1"/>
    <w:qFormat/>
    <w:uiPriority w:val="0"/>
    <w:rPr>
      <w:rFonts w:ascii="Tahoma" w:hAnsi="Tahoma"/>
      <w:sz w:val="24"/>
      <w:szCs w:val="20"/>
    </w:rPr>
  </w:style>
  <w:style w:type="paragraph" w:customStyle="1" w:styleId="411">
    <w:name w:val="正文内容"/>
    <w:basedOn w:val="1"/>
    <w:qFormat/>
    <w:uiPriority w:val="0"/>
    <w:rPr>
      <w:rFonts w:ascii="Arial" w:hAnsi="Arial"/>
      <w:spacing w:val="-12"/>
      <w:szCs w:val="20"/>
    </w:rPr>
  </w:style>
  <w:style w:type="paragraph" w:customStyle="1" w:styleId="4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4">
    <w:name w:val="WPSOffice手动目录 1"/>
    <w:qFormat/>
    <w:uiPriority w:val="0"/>
    <w:rPr>
      <w:rFonts w:ascii="Times New Roman" w:hAnsi="Times New Roman" w:eastAsia="宋体" w:cs="Times New Roman"/>
      <w:lang w:val="en-US" w:eastAsia="zh-CN" w:bidi="ar-SA"/>
    </w:rPr>
  </w:style>
  <w:style w:type="paragraph" w:customStyle="1" w:styleId="4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8">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0">
    <w:name w:val="Char1 Char Char Char Char Char Char Char Char"/>
    <w:basedOn w:val="1"/>
    <w:qFormat/>
    <w:uiPriority w:val="0"/>
  </w:style>
  <w:style w:type="paragraph" w:customStyle="1" w:styleId="42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标题5"/>
    <w:basedOn w:val="1"/>
    <w:qFormat/>
    <w:uiPriority w:val="0"/>
    <w:pPr>
      <w:spacing w:before="120" w:after="120"/>
    </w:pPr>
    <w:rPr>
      <w:rFonts w:ascii="宋体"/>
      <w:b/>
      <w:sz w:val="28"/>
    </w:rPr>
  </w:style>
  <w:style w:type="paragraph" w:customStyle="1" w:styleId="42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5">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7">
    <w:name w:val="Char4"/>
    <w:basedOn w:val="1"/>
    <w:qFormat/>
    <w:uiPriority w:val="0"/>
    <w:pPr>
      <w:ind w:left="980" w:hanging="420"/>
    </w:pPr>
    <w:rPr>
      <w:sz w:val="24"/>
    </w:rPr>
  </w:style>
  <w:style w:type="paragraph" w:customStyle="1" w:styleId="428">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0">
    <w:name w:val="样式 首行缩进:  0.85 厘米"/>
    <w:basedOn w:val="1"/>
    <w:qFormat/>
    <w:uiPriority w:val="0"/>
    <w:pPr>
      <w:ind w:firstLine="480" w:firstLineChars="200"/>
    </w:pPr>
    <w:rPr>
      <w:rFonts w:cs="宋体"/>
      <w:szCs w:val="20"/>
    </w:rPr>
  </w:style>
  <w:style w:type="paragraph" w:customStyle="1" w:styleId="43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3">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4">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5">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9">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6">
    <w:name w:val="列表段落 字符1"/>
    <w:link w:val="457"/>
    <w:qFormat/>
    <w:uiPriority w:val="34"/>
    <w:rPr>
      <w:kern w:val="2"/>
      <w:sz w:val="21"/>
      <w:szCs w:val="24"/>
    </w:rPr>
  </w:style>
  <w:style w:type="paragraph" w:styleId="457">
    <w:name w:val="List Paragraph"/>
    <w:basedOn w:val="1"/>
    <w:link w:val="456"/>
    <w:qFormat/>
    <w:uiPriority w:val="34"/>
    <w:pPr>
      <w:ind w:firstLine="420" w:firstLineChars="200"/>
    </w:pPr>
  </w:style>
  <w:style w:type="paragraph" w:customStyle="1" w:styleId="458">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评价"/>
    <w:basedOn w:val="1"/>
    <w:qFormat/>
    <w:uiPriority w:val="0"/>
    <w:pPr>
      <w:spacing w:afterLines="20"/>
      <w:ind w:firstLine="1446" w:firstLineChars="200"/>
    </w:pPr>
    <w:rPr>
      <w:rFonts w:ascii="Calibri" w:hAnsi="Calibri"/>
      <w:sz w:val="24"/>
    </w:rPr>
  </w:style>
  <w:style w:type="character" w:customStyle="1" w:styleId="460">
    <w:name w:val="正文文本 3 字符"/>
    <w:basedOn w:val="54"/>
    <w:link w:val="23"/>
    <w:qFormat/>
    <w:uiPriority w:val="0"/>
    <w:rPr>
      <w:kern w:val="2"/>
      <w:sz w:val="16"/>
      <w:szCs w:val="16"/>
    </w:rPr>
  </w:style>
  <w:style w:type="character" w:customStyle="1" w:styleId="461">
    <w:name w:val="content"/>
    <w:basedOn w:val="54"/>
    <w:qFormat/>
    <w:uiPriority w:val="0"/>
  </w:style>
  <w:style w:type="character" w:customStyle="1" w:styleId="462">
    <w:name w:val="ca-3"/>
    <w:basedOn w:val="54"/>
    <w:qFormat/>
    <w:uiPriority w:val="0"/>
  </w:style>
  <w:style w:type="character" w:customStyle="1" w:styleId="463">
    <w:name w:val="textcontents1"/>
    <w:qFormat/>
    <w:uiPriority w:val="0"/>
    <w:rPr>
      <w:rFonts w:hint="default" w:ascii="ˎ̥" w:hAnsi="ˎ̥"/>
      <w:sz w:val="21"/>
      <w:szCs w:val="21"/>
    </w:rPr>
  </w:style>
  <w:style w:type="character" w:customStyle="1" w:styleId="464">
    <w:name w:val="脚注文本 Char1"/>
    <w:qFormat/>
    <w:uiPriority w:val="0"/>
    <w:rPr>
      <w:kern w:val="2"/>
      <w:sz w:val="18"/>
      <w:szCs w:val="18"/>
    </w:rPr>
  </w:style>
  <w:style w:type="character" w:customStyle="1" w:styleId="465">
    <w:name w:val="脚注文本 字符"/>
    <w:link w:val="41"/>
    <w:qFormat/>
    <w:uiPriority w:val="0"/>
    <w:rPr>
      <w:kern w:val="2"/>
      <w:sz w:val="18"/>
      <w:szCs w:val="18"/>
    </w:rPr>
  </w:style>
  <w:style w:type="character" w:customStyle="1" w:styleId="466">
    <w:name w:val="正文首行缩进（绿盟科技） Char"/>
    <w:link w:val="467"/>
    <w:qFormat/>
    <w:uiPriority w:val="0"/>
    <w:rPr>
      <w:rFonts w:ascii="Arial" w:hAnsi="Arial"/>
      <w:szCs w:val="21"/>
    </w:rPr>
  </w:style>
  <w:style w:type="paragraph" w:customStyle="1" w:styleId="467">
    <w:name w:val="正文首行缩进（绿盟科技）"/>
    <w:basedOn w:val="1"/>
    <w:link w:val="466"/>
    <w:qFormat/>
    <w:uiPriority w:val="0"/>
    <w:pPr>
      <w:widowControl/>
      <w:spacing w:after="50" w:line="300" w:lineRule="auto"/>
      <w:ind w:firstLine="200" w:firstLineChars="200"/>
      <w:jc w:val="left"/>
    </w:pPr>
    <w:rPr>
      <w:rFonts w:ascii="Arial" w:hAnsi="Arial"/>
      <w:kern w:val="0"/>
      <w:sz w:val="20"/>
      <w:szCs w:val="21"/>
    </w:rPr>
  </w:style>
  <w:style w:type="character" w:customStyle="1" w:styleId="468">
    <w:name w:val="c lh15"/>
    <w:basedOn w:val="54"/>
    <w:qFormat/>
    <w:uiPriority w:val="0"/>
  </w:style>
  <w:style w:type="character" w:customStyle="1" w:styleId="469">
    <w:name w:val="Char Char21"/>
    <w:qFormat/>
    <w:uiPriority w:val="0"/>
    <w:rPr>
      <w:b/>
      <w:bCs/>
      <w:kern w:val="2"/>
      <w:sz w:val="32"/>
      <w:szCs w:val="32"/>
    </w:rPr>
  </w:style>
  <w:style w:type="character" w:customStyle="1" w:styleId="470">
    <w:name w:val="content1"/>
    <w:qFormat/>
    <w:uiPriority w:val="0"/>
    <w:rPr>
      <w:rFonts w:hint="default" w:ascii="??" w:hAnsi="??"/>
      <w:sz w:val="16"/>
      <w:szCs w:val="16"/>
      <w:u w:val="none"/>
    </w:rPr>
  </w:style>
  <w:style w:type="character" w:customStyle="1" w:styleId="471">
    <w:name w:val="text21"/>
    <w:basedOn w:val="54"/>
    <w:qFormat/>
    <w:uiPriority w:val="0"/>
  </w:style>
  <w:style w:type="character" w:customStyle="1" w:styleId="472">
    <w:name w:val="apple-style-span"/>
    <w:basedOn w:val="54"/>
    <w:qFormat/>
    <w:uiPriority w:val="0"/>
  </w:style>
  <w:style w:type="paragraph" w:customStyle="1" w:styleId="473">
    <w:name w:val="缺省文本"/>
    <w:basedOn w:val="1"/>
    <w:qFormat/>
    <w:uiPriority w:val="0"/>
    <w:pPr>
      <w:autoSpaceDE w:val="0"/>
      <w:autoSpaceDN w:val="0"/>
      <w:adjustRightInd w:val="0"/>
      <w:jc w:val="left"/>
    </w:pPr>
    <w:rPr>
      <w:kern w:val="0"/>
      <w:sz w:val="24"/>
    </w:rPr>
  </w:style>
  <w:style w:type="paragraph" w:customStyle="1" w:styleId="47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5">
    <w:name w:val="1"/>
    <w:basedOn w:val="1"/>
    <w:next w:val="29"/>
    <w:qFormat/>
    <w:uiPriority w:val="0"/>
    <w:rPr>
      <w:rFonts w:ascii="宋体" w:hAnsi="Courier New"/>
      <w:szCs w:val="20"/>
    </w:rPr>
  </w:style>
  <w:style w:type="paragraph" w:customStyle="1" w:styleId="476">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7">
    <w:name w:val="Char Char Char Char Char Char Char1"/>
    <w:basedOn w:val="1"/>
    <w:qFormat/>
    <w:uiPriority w:val="0"/>
    <w:pPr>
      <w:widowControl/>
      <w:spacing w:after="160" w:line="240" w:lineRule="exact"/>
      <w:jc w:val="left"/>
    </w:pPr>
  </w:style>
  <w:style w:type="paragraph" w:customStyle="1" w:styleId="478">
    <w:name w:val="USE 1"/>
    <w:basedOn w:val="1"/>
    <w:qFormat/>
    <w:uiPriority w:val="0"/>
    <w:pPr>
      <w:spacing w:line="200" w:lineRule="atLeast"/>
      <w:jc w:val="left"/>
    </w:pPr>
    <w:rPr>
      <w:rFonts w:ascii="宋体" w:hAnsi="宋体"/>
      <w:b/>
      <w:sz w:val="24"/>
      <w:szCs w:val="28"/>
    </w:rPr>
  </w:style>
  <w:style w:type="paragraph" w:customStyle="1" w:styleId="4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2">
    <w:name w:val="_Style 54"/>
    <w:basedOn w:val="1"/>
    <w:next w:val="29"/>
    <w:qFormat/>
    <w:uiPriority w:val="0"/>
    <w:rPr>
      <w:rFonts w:ascii="宋体" w:hAnsi="Courier New"/>
      <w:szCs w:val="20"/>
    </w:rPr>
  </w:style>
  <w:style w:type="character" w:customStyle="1" w:styleId="483">
    <w:name w:val="脚注文本 Char2"/>
    <w:basedOn w:val="54"/>
    <w:semiHidden/>
    <w:qFormat/>
    <w:uiPriority w:val="0"/>
    <w:rPr>
      <w:kern w:val="2"/>
      <w:sz w:val="18"/>
      <w:szCs w:val="18"/>
    </w:rPr>
  </w:style>
  <w:style w:type="paragraph" w:customStyle="1" w:styleId="484">
    <w:name w:val="_Style 56"/>
    <w:basedOn w:val="1"/>
    <w:next w:val="29"/>
    <w:qFormat/>
    <w:uiPriority w:val="0"/>
    <w:rPr>
      <w:rFonts w:ascii="宋体" w:hAnsi="Courier New"/>
      <w:szCs w:val="20"/>
    </w:rPr>
  </w:style>
  <w:style w:type="paragraph" w:customStyle="1" w:styleId="485">
    <w:name w:val="Char Char Char Char2"/>
    <w:basedOn w:val="1"/>
    <w:qFormat/>
    <w:uiPriority w:val="0"/>
    <w:pPr>
      <w:widowControl/>
      <w:spacing w:after="160" w:line="240" w:lineRule="exact"/>
      <w:jc w:val="center"/>
    </w:pPr>
  </w:style>
  <w:style w:type="paragraph" w:customStyle="1" w:styleId="486">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9">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90">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1">
    <w:name w:val="Char2 Char Char Char Char Char Char"/>
    <w:basedOn w:val="1"/>
    <w:qFormat/>
    <w:uiPriority w:val="0"/>
    <w:pPr>
      <w:widowControl/>
      <w:spacing w:after="160" w:line="240" w:lineRule="exact"/>
      <w:jc w:val="left"/>
    </w:pPr>
  </w:style>
  <w:style w:type="paragraph" w:customStyle="1" w:styleId="492">
    <w:name w:val="_Style 50"/>
    <w:basedOn w:val="1"/>
    <w:next w:val="32"/>
    <w:qFormat/>
    <w:uiPriority w:val="0"/>
    <w:pPr>
      <w:adjustRightInd w:val="0"/>
      <w:snapToGrid w:val="0"/>
      <w:spacing w:line="300" w:lineRule="auto"/>
      <w:ind w:firstLine="630" w:firstLineChars="300"/>
    </w:pPr>
    <w:rPr>
      <w:snapToGrid w:val="0"/>
      <w:kern w:val="0"/>
    </w:rPr>
  </w:style>
  <w:style w:type="paragraph" w:customStyle="1" w:styleId="493">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6">
    <w:name w:val="5"/>
    <w:basedOn w:val="1"/>
    <w:next w:val="29"/>
    <w:qFormat/>
    <w:uiPriority w:val="0"/>
    <w:rPr>
      <w:rFonts w:ascii="宋体" w:hAnsi="Courier New"/>
      <w:szCs w:val="20"/>
    </w:rPr>
  </w:style>
  <w:style w:type="paragraph" w:customStyle="1" w:styleId="497">
    <w:name w:val="Char Char Char"/>
    <w:basedOn w:val="1"/>
    <w:qFormat/>
    <w:uiPriority w:val="0"/>
    <w:rPr>
      <w:szCs w:val="20"/>
    </w:rPr>
  </w:style>
  <w:style w:type="paragraph" w:customStyle="1" w:styleId="498">
    <w:name w:val="Char2"/>
    <w:basedOn w:val="1"/>
    <w:qFormat/>
    <w:uiPriority w:val="0"/>
    <w:rPr>
      <w:rFonts w:ascii="Tahoma" w:hAnsi="Tahoma"/>
      <w:sz w:val="24"/>
      <w:szCs w:val="20"/>
    </w:rPr>
  </w:style>
  <w:style w:type="paragraph" w:customStyle="1" w:styleId="4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2">
    <w:name w:val="6"/>
    <w:basedOn w:val="1"/>
    <w:next w:val="29"/>
    <w:qFormat/>
    <w:uiPriority w:val="0"/>
    <w:rPr>
      <w:rFonts w:ascii="宋体" w:hAnsi="Courier New"/>
      <w:szCs w:val="20"/>
    </w:rPr>
  </w:style>
  <w:style w:type="paragraph" w:customStyle="1" w:styleId="503">
    <w:name w:val="2"/>
    <w:basedOn w:val="1"/>
    <w:next w:val="48"/>
    <w:qFormat/>
    <w:uiPriority w:val="0"/>
    <w:pPr>
      <w:widowControl/>
      <w:spacing w:before="100" w:beforeAutospacing="1" w:after="100" w:afterAutospacing="1"/>
      <w:jc w:val="left"/>
    </w:pPr>
    <w:rPr>
      <w:rFonts w:ascii="宋体" w:hAnsi="宋体"/>
      <w:kern w:val="0"/>
      <w:sz w:val="24"/>
    </w:rPr>
  </w:style>
  <w:style w:type="paragraph" w:customStyle="1" w:styleId="504">
    <w:name w:val="7"/>
    <w:basedOn w:val="1"/>
    <w:next w:val="32"/>
    <w:qFormat/>
    <w:uiPriority w:val="0"/>
    <w:pPr>
      <w:adjustRightInd w:val="0"/>
      <w:snapToGrid w:val="0"/>
      <w:spacing w:line="300" w:lineRule="auto"/>
      <w:ind w:firstLine="630" w:firstLineChars="300"/>
    </w:pPr>
    <w:rPr>
      <w:snapToGrid w:val="0"/>
      <w:kern w:val="0"/>
    </w:rPr>
  </w:style>
  <w:style w:type="paragraph" w:customStyle="1" w:styleId="50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6">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7">
    <w:name w:val="纯文本 Char2"/>
    <w:qFormat/>
    <w:uiPriority w:val="99"/>
    <w:rPr>
      <w:rFonts w:ascii="宋体" w:hAnsi="Courier New"/>
      <w:kern w:val="2"/>
      <w:sz w:val="21"/>
    </w:rPr>
  </w:style>
  <w:style w:type="paragraph" w:customStyle="1" w:styleId="50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0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B55D7-5E6D-4F5E-8C1B-9C98FCD36061}">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79</Pages>
  <Words>48130</Words>
  <Characters>51106</Characters>
  <Lines>410</Lines>
  <Paragraphs>115</Paragraphs>
  <TotalTime>4</TotalTime>
  <ScaleCrop>false</ScaleCrop>
  <LinksUpToDate>false</LinksUpToDate>
  <CharactersWithSpaces>53552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2022-09-06T09:27:00Z</dcterms:created>
  <dc:creator>微软用户</dc:creator>
  <cp:lastModifiedBy>ZLB </cp:lastModifiedBy>
  <cp:lastPrinted>2020-05-26T01:03:00Z</cp:lastPrinted>
  <dcterms:modified xsi:type="dcterms:W3CDTF">2022-11-08T10:42:32Z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5F1E9B7EFF9E4F7F8552BB4F0BE9E3F6</vt:lpwstr>
  </property>
</Properties>
</file>